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C141F4" w14:textId="77777777" w:rsidR="0063279A" w:rsidRPr="0040309B" w:rsidRDefault="0063279A" w:rsidP="0063279A">
      <w:pPr>
        <w:spacing w:line="360" w:lineRule="auto"/>
        <w:jc w:val="both"/>
        <w:rPr>
          <w:b/>
          <w:color w:val="000000"/>
          <w:u w:val="single"/>
        </w:rPr>
      </w:pPr>
      <w:r w:rsidRPr="0040309B">
        <w:rPr>
          <w:b/>
          <w:color w:val="000000"/>
        </w:rPr>
        <w:t>TRPV2 regulates cell fate in the human granulosa-like tumor cell line KGN: Implications for granulosa cell tumors and cannabidiol</w:t>
      </w:r>
    </w:p>
    <w:p w14:paraId="310BFD24" w14:textId="77777777" w:rsidR="0063279A" w:rsidRPr="0040309B" w:rsidRDefault="0063279A" w:rsidP="0063279A">
      <w:pPr>
        <w:spacing w:line="360" w:lineRule="auto"/>
        <w:jc w:val="both"/>
        <w:rPr>
          <w:b/>
          <w:color w:val="000000"/>
        </w:rPr>
      </w:pPr>
    </w:p>
    <w:p w14:paraId="33FB1D34" w14:textId="77777777" w:rsidR="0063279A" w:rsidRPr="0040309B" w:rsidRDefault="0063279A" w:rsidP="0063279A">
      <w:pPr>
        <w:spacing w:line="360" w:lineRule="auto"/>
        <w:jc w:val="both"/>
        <w:rPr>
          <w:color w:val="000000"/>
          <w:sz w:val="22"/>
          <w:szCs w:val="22"/>
        </w:rPr>
      </w:pPr>
    </w:p>
    <w:p w14:paraId="439C2689" w14:textId="7B50C718" w:rsidR="0063279A" w:rsidRPr="0040309B" w:rsidRDefault="0063279A" w:rsidP="0063279A">
      <w:pPr>
        <w:spacing w:line="360" w:lineRule="auto"/>
        <w:jc w:val="both"/>
        <w:rPr>
          <w:color w:val="000000"/>
          <w:sz w:val="22"/>
          <w:szCs w:val="22"/>
          <w:vertAlign w:val="superscript"/>
        </w:rPr>
      </w:pPr>
      <w:r w:rsidRPr="0040309B">
        <w:rPr>
          <w:color w:val="000000"/>
          <w:sz w:val="22"/>
          <w:szCs w:val="22"/>
        </w:rPr>
        <w:t xml:space="preserve">Katja Eubler </w:t>
      </w:r>
      <w:r w:rsidRPr="0040309B">
        <w:rPr>
          <w:color w:val="000000"/>
          <w:sz w:val="22"/>
          <w:szCs w:val="22"/>
          <w:vertAlign w:val="superscript"/>
        </w:rPr>
        <w:t>1</w:t>
      </w:r>
      <w:r w:rsidRPr="0040309B">
        <w:rPr>
          <w:color w:val="000000"/>
          <w:sz w:val="22"/>
          <w:szCs w:val="22"/>
        </w:rPr>
        <w:t xml:space="preserve">, Sree Priyanka Jeevanandan </w:t>
      </w:r>
      <w:r w:rsidRPr="0040309B">
        <w:rPr>
          <w:color w:val="000000"/>
          <w:sz w:val="22"/>
          <w:szCs w:val="22"/>
          <w:vertAlign w:val="superscript"/>
        </w:rPr>
        <w:t>1</w:t>
      </w:r>
      <w:r w:rsidRPr="0040309B">
        <w:rPr>
          <w:color w:val="000000"/>
          <w:sz w:val="22"/>
          <w:szCs w:val="22"/>
        </w:rPr>
        <w:t xml:space="preserve">, Karolina Magdalena Caban </w:t>
      </w:r>
      <w:r w:rsidRPr="0040309B">
        <w:rPr>
          <w:color w:val="000000"/>
          <w:sz w:val="22"/>
          <w:szCs w:val="22"/>
          <w:vertAlign w:val="superscript"/>
        </w:rPr>
        <w:t>2</w:t>
      </w:r>
      <w:r w:rsidRPr="0040309B">
        <w:rPr>
          <w:color w:val="000000"/>
          <w:sz w:val="22"/>
          <w:szCs w:val="22"/>
        </w:rPr>
        <w:t xml:space="preserve">, Jan Bernd Stöckl </w:t>
      </w:r>
      <w:r w:rsidRPr="0040309B">
        <w:rPr>
          <w:color w:val="000000"/>
          <w:sz w:val="22"/>
          <w:szCs w:val="22"/>
          <w:vertAlign w:val="superscript"/>
        </w:rPr>
        <w:t>2</w:t>
      </w:r>
      <w:r w:rsidRPr="0040309B">
        <w:rPr>
          <w:color w:val="000000"/>
          <w:sz w:val="22"/>
          <w:szCs w:val="22"/>
        </w:rPr>
        <w:t xml:space="preserve">, Malte Benjamin Braun </w:t>
      </w:r>
      <w:r w:rsidRPr="0040309B">
        <w:rPr>
          <w:color w:val="000000"/>
          <w:sz w:val="22"/>
          <w:szCs w:val="22"/>
          <w:vertAlign w:val="superscript"/>
        </w:rPr>
        <w:t>3</w:t>
      </w:r>
      <w:r w:rsidRPr="0040309B">
        <w:rPr>
          <w:color w:val="000000"/>
          <w:sz w:val="22"/>
          <w:szCs w:val="22"/>
        </w:rPr>
        <w:t xml:space="preserve">, Carola Herrmann </w:t>
      </w:r>
      <w:r w:rsidRPr="0040309B">
        <w:rPr>
          <w:color w:val="000000"/>
          <w:sz w:val="22"/>
          <w:szCs w:val="22"/>
          <w:vertAlign w:val="superscript"/>
        </w:rPr>
        <w:t>1</w:t>
      </w:r>
      <w:r w:rsidRPr="0040309B">
        <w:rPr>
          <w:color w:val="000000"/>
          <w:sz w:val="22"/>
          <w:szCs w:val="22"/>
        </w:rPr>
        <w:t xml:space="preserve">, Michaela Schneider </w:t>
      </w:r>
      <w:r w:rsidRPr="0040309B">
        <w:rPr>
          <w:color w:val="000000"/>
          <w:sz w:val="22"/>
          <w:szCs w:val="22"/>
          <w:vertAlign w:val="superscript"/>
        </w:rPr>
        <w:t>1</w:t>
      </w:r>
      <w:r w:rsidRPr="0040309B">
        <w:rPr>
          <w:color w:val="000000"/>
          <w:sz w:val="22"/>
          <w:szCs w:val="22"/>
        </w:rPr>
        <w:t xml:space="preserve">, Nicole </w:t>
      </w:r>
      <w:proofErr w:type="spellStart"/>
      <w:r w:rsidRPr="0040309B">
        <w:rPr>
          <w:color w:val="000000"/>
          <w:sz w:val="22"/>
          <w:szCs w:val="22"/>
        </w:rPr>
        <w:t>Kreitmair</w:t>
      </w:r>
      <w:proofErr w:type="spellEnd"/>
      <w:r w:rsidRPr="0040309B">
        <w:rPr>
          <w:color w:val="000000"/>
          <w:sz w:val="22"/>
          <w:szCs w:val="22"/>
        </w:rPr>
        <w:t xml:space="preserve"> </w:t>
      </w:r>
      <w:r w:rsidRPr="0040309B">
        <w:rPr>
          <w:color w:val="000000"/>
          <w:sz w:val="22"/>
          <w:szCs w:val="22"/>
          <w:vertAlign w:val="superscript"/>
        </w:rPr>
        <w:t>1</w:t>
      </w:r>
      <w:r w:rsidRPr="0040309B">
        <w:rPr>
          <w:color w:val="000000"/>
          <w:sz w:val="22"/>
          <w:szCs w:val="22"/>
        </w:rPr>
        <w:t xml:space="preserve">, </w:t>
      </w:r>
      <w:r w:rsidR="00254EAF" w:rsidRPr="0040309B">
        <w:rPr>
          <w:color w:val="000000"/>
          <w:sz w:val="22"/>
          <w:szCs w:val="22"/>
        </w:rPr>
        <w:t xml:space="preserve">Lina Scholz </w:t>
      </w:r>
      <w:proofErr w:type="gramStart"/>
      <w:r w:rsidR="00254EAF" w:rsidRPr="0040309B">
        <w:rPr>
          <w:color w:val="000000"/>
          <w:sz w:val="22"/>
          <w:szCs w:val="22"/>
          <w:vertAlign w:val="superscript"/>
        </w:rPr>
        <w:t>1</w:t>
      </w:r>
      <w:r w:rsidR="00254EAF" w:rsidRPr="0040309B">
        <w:rPr>
          <w:color w:val="000000"/>
          <w:sz w:val="22"/>
          <w:szCs w:val="22"/>
        </w:rPr>
        <w:t xml:space="preserve">,  </w:t>
      </w:r>
      <w:r w:rsidRPr="0040309B">
        <w:rPr>
          <w:color w:val="000000"/>
          <w:sz w:val="22"/>
          <w:szCs w:val="22"/>
        </w:rPr>
        <w:t>Doris</w:t>
      </w:r>
      <w:proofErr w:type="gramEnd"/>
      <w:r w:rsidRPr="0040309B">
        <w:rPr>
          <w:color w:val="000000"/>
          <w:sz w:val="22"/>
          <w:szCs w:val="22"/>
        </w:rPr>
        <w:t xml:space="preserve"> Mayr </w:t>
      </w:r>
      <w:r w:rsidRPr="0040309B">
        <w:rPr>
          <w:color w:val="000000"/>
          <w:sz w:val="22"/>
          <w:szCs w:val="22"/>
          <w:vertAlign w:val="superscript"/>
        </w:rPr>
        <w:t>4</w:t>
      </w:r>
      <w:r w:rsidRPr="0040309B">
        <w:rPr>
          <w:color w:val="000000"/>
          <w:sz w:val="22"/>
          <w:szCs w:val="22"/>
        </w:rPr>
        <w:t>,</w:t>
      </w:r>
      <w:r w:rsidRPr="0040309B">
        <w:rPr>
          <w:color w:val="000000"/>
          <w:sz w:val="22"/>
          <w:szCs w:val="22"/>
          <w:vertAlign w:val="superscript"/>
        </w:rPr>
        <w:t xml:space="preserve"> </w:t>
      </w:r>
      <w:r w:rsidRPr="0040309B">
        <w:rPr>
          <w:color w:val="000000"/>
          <w:sz w:val="22"/>
          <w:szCs w:val="22"/>
        </w:rPr>
        <w:t xml:space="preserve">Jörg </w:t>
      </w:r>
      <w:proofErr w:type="spellStart"/>
      <w:r w:rsidRPr="0040309B">
        <w:rPr>
          <w:color w:val="000000"/>
          <w:sz w:val="22"/>
          <w:szCs w:val="22"/>
        </w:rPr>
        <w:t>Renkawitz</w:t>
      </w:r>
      <w:proofErr w:type="spellEnd"/>
      <w:r w:rsidRPr="0040309B">
        <w:rPr>
          <w:color w:val="000000"/>
          <w:sz w:val="22"/>
          <w:szCs w:val="22"/>
        </w:rPr>
        <w:t xml:space="preserve"> </w:t>
      </w:r>
      <w:r w:rsidRPr="0040309B">
        <w:rPr>
          <w:color w:val="000000"/>
          <w:sz w:val="22"/>
          <w:szCs w:val="22"/>
          <w:vertAlign w:val="superscript"/>
        </w:rPr>
        <w:t>3</w:t>
      </w:r>
      <w:r w:rsidRPr="0040309B">
        <w:rPr>
          <w:color w:val="000000"/>
          <w:sz w:val="22"/>
          <w:szCs w:val="22"/>
        </w:rPr>
        <w:t>, Harald Welter </w:t>
      </w:r>
      <w:r w:rsidRPr="0040309B">
        <w:rPr>
          <w:color w:val="000000"/>
          <w:sz w:val="22"/>
          <w:szCs w:val="22"/>
          <w:vertAlign w:val="superscript"/>
        </w:rPr>
        <w:t>1</w:t>
      </w:r>
      <w:r w:rsidRPr="0040309B">
        <w:rPr>
          <w:color w:val="000000"/>
          <w:sz w:val="22"/>
          <w:szCs w:val="22"/>
        </w:rPr>
        <w:t xml:space="preserve">, Annette </w:t>
      </w:r>
      <w:proofErr w:type="spellStart"/>
      <w:r w:rsidRPr="0040309B">
        <w:rPr>
          <w:color w:val="000000"/>
          <w:sz w:val="22"/>
          <w:szCs w:val="22"/>
        </w:rPr>
        <w:t>Müller-Taubenberger</w:t>
      </w:r>
      <w:proofErr w:type="spellEnd"/>
      <w:r w:rsidRPr="0040309B">
        <w:rPr>
          <w:color w:val="000000"/>
          <w:sz w:val="22"/>
          <w:szCs w:val="22"/>
        </w:rPr>
        <w:t> </w:t>
      </w:r>
      <w:r w:rsidRPr="0040309B">
        <w:rPr>
          <w:color w:val="000000"/>
          <w:sz w:val="22"/>
          <w:szCs w:val="22"/>
          <w:vertAlign w:val="superscript"/>
        </w:rPr>
        <w:t>1</w:t>
      </w:r>
      <w:r w:rsidRPr="0040309B">
        <w:rPr>
          <w:color w:val="000000"/>
          <w:sz w:val="22"/>
          <w:szCs w:val="22"/>
        </w:rPr>
        <w:t xml:space="preserve">, Thomas Fröhlich </w:t>
      </w:r>
      <w:r w:rsidRPr="0040309B">
        <w:rPr>
          <w:color w:val="000000"/>
          <w:sz w:val="22"/>
          <w:szCs w:val="22"/>
          <w:vertAlign w:val="superscript"/>
        </w:rPr>
        <w:t>2</w:t>
      </w:r>
      <w:r w:rsidRPr="0040309B">
        <w:rPr>
          <w:color w:val="000000"/>
          <w:sz w:val="22"/>
          <w:szCs w:val="22"/>
        </w:rPr>
        <w:t>, Artur Mayerhofer </w:t>
      </w:r>
      <w:r w:rsidRPr="0040309B">
        <w:rPr>
          <w:color w:val="000000"/>
          <w:sz w:val="22"/>
          <w:szCs w:val="22"/>
          <w:vertAlign w:val="superscript"/>
        </w:rPr>
        <w:t>1</w:t>
      </w:r>
    </w:p>
    <w:p w14:paraId="587F3D05" w14:textId="77777777" w:rsidR="0063279A" w:rsidRPr="0040309B" w:rsidRDefault="0063279A" w:rsidP="0063279A">
      <w:pPr>
        <w:spacing w:line="360" w:lineRule="auto"/>
        <w:jc w:val="both"/>
        <w:rPr>
          <w:color w:val="000000"/>
          <w:sz w:val="22"/>
          <w:szCs w:val="22"/>
          <w:vertAlign w:val="superscript"/>
        </w:rPr>
      </w:pPr>
    </w:p>
    <w:p w14:paraId="2454CE32" w14:textId="77777777" w:rsidR="0063279A" w:rsidRPr="0040309B" w:rsidRDefault="0063279A" w:rsidP="0063279A">
      <w:pPr>
        <w:spacing w:line="360" w:lineRule="auto"/>
        <w:jc w:val="both"/>
        <w:rPr>
          <w:color w:val="000000"/>
          <w:sz w:val="16"/>
          <w:szCs w:val="16"/>
        </w:rPr>
      </w:pPr>
    </w:p>
    <w:p w14:paraId="647724C9" w14:textId="77777777" w:rsidR="0063279A" w:rsidRPr="0040309B" w:rsidRDefault="0063279A" w:rsidP="0063279A">
      <w:pPr>
        <w:spacing w:line="360" w:lineRule="auto"/>
        <w:jc w:val="both"/>
        <w:rPr>
          <w:color w:val="000000"/>
          <w:sz w:val="16"/>
          <w:szCs w:val="16"/>
        </w:rPr>
      </w:pPr>
    </w:p>
    <w:p w14:paraId="49CB1DF1" w14:textId="77777777" w:rsidR="0063279A" w:rsidRPr="0040309B" w:rsidRDefault="0063279A" w:rsidP="0063279A">
      <w:pPr>
        <w:spacing w:line="360" w:lineRule="auto"/>
        <w:jc w:val="both"/>
        <w:rPr>
          <w:color w:val="000000"/>
          <w:sz w:val="16"/>
          <w:szCs w:val="16"/>
        </w:rPr>
      </w:pPr>
    </w:p>
    <w:p w14:paraId="1048881C" w14:textId="77777777" w:rsidR="0063279A" w:rsidRPr="0040309B" w:rsidRDefault="0063279A" w:rsidP="0063279A">
      <w:pPr>
        <w:spacing w:line="360" w:lineRule="auto"/>
        <w:jc w:val="both"/>
        <w:rPr>
          <w:color w:val="000000"/>
          <w:sz w:val="22"/>
          <w:szCs w:val="22"/>
        </w:rPr>
      </w:pPr>
      <w:r w:rsidRPr="0040309B">
        <w:rPr>
          <w:color w:val="000000"/>
          <w:sz w:val="22"/>
          <w:szCs w:val="22"/>
          <w:vertAlign w:val="superscript"/>
        </w:rPr>
        <w:t>1</w:t>
      </w:r>
      <w:r w:rsidRPr="0040309B">
        <w:rPr>
          <w:color w:val="000000"/>
          <w:sz w:val="22"/>
          <w:szCs w:val="22"/>
        </w:rPr>
        <w:t xml:space="preserve"> Biomedical Center Munich (BMC), Cell Biology, Anatomy III, Faculty of Medicine, Ludwig Maximilian University (LMU) Munich, </w:t>
      </w:r>
      <w:proofErr w:type="spellStart"/>
      <w:r w:rsidRPr="0040309B">
        <w:rPr>
          <w:color w:val="000000"/>
          <w:sz w:val="22"/>
          <w:szCs w:val="22"/>
        </w:rPr>
        <w:t>Planegg-Martinsried</w:t>
      </w:r>
      <w:proofErr w:type="spellEnd"/>
      <w:r w:rsidRPr="0040309B">
        <w:rPr>
          <w:color w:val="000000"/>
          <w:sz w:val="22"/>
          <w:szCs w:val="22"/>
        </w:rPr>
        <w:t>, Germany</w:t>
      </w:r>
    </w:p>
    <w:p w14:paraId="499A60AE" w14:textId="77777777" w:rsidR="0063279A" w:rsidRPr="0040309B" w:rsidRDefault="0063279A" w:rsidP="0063279A">
      <w:pPr>
        <w:spacing w:line="360" w:lineRule="auto"/>
        <w:jc w:val="both"/>
        <w:rPr>
          <w:color w:val="000000"/>
          <w:sz w:val="22"/>
          <w:szCs w:val="22"/>
        </w:rPr>
      </w:pPr>
      <w:r w:rsidRPr="0040309B">
        <w:rPr>
          <w:color w:val="000000"/>
          <w:sz w:val="22"/>
          <w:szCs w:val="22"/>
          <w:vertAlign w:val="superscript"/>
        </w:rPr>
        <w:t>2</w:t>
      </w:r>
      <w:r w:rsidRPr="0040309B">
        <w:rPr>
          <w:color w:val="000000"/>
          <w:sz w:val="22"/>
          <w:szCs w:val="22"/>
        </w:rPr>
        <w:t xml:space="preserve"> Laboratory for Functional Genome Analysis LAFUGA, Gene Center, LMU Munich, Munich, Germany</w:t>
      </w:r>
    </w:p>
    <w:p w14:paraId="427BCA21" w14:textId="77777777" w:rsidR="0063279A" w:rsidRPr="0040309B" w:rsidRDefault="0063279A" w:rsidP="0063279A">
      <w:pPr>
        <w:spacing w:line="360" w:lineRule="auto"/>
        <w:jc w:val="both"/>
        <w:rPr>
          <w:color w:val="000000"/>
          <w:sz w:val="22"/>
          <w:szCs w:val="22"/>
        </w:rPr>
      </w:pPr>
      <w:r w:rsidRPr="0040309B">
        <w:rPr>
          <w:color w:val="000000"/>
          <w:sz w:val="22"/>
          <w:szCs w:val="22"/>
          <w:vertAlign w:val="superscript"/>
        </w:rPr>
        <w:t>3</w:t>
      </w:r>
      <w:r w:rsidRPr="0040309B">
        <w:rPr>
          <w:color w:val="000000"/>
          <w:sz w:val="22"/>
          <w:szCs w:val="22"/>
        </w:rPr>
        <w:t xml:space="preserve"> Biomedical Center, Walter Brendel Center of Experimental Medicine, Institute of Cardiovascular Physiology and Pathophysiology, University Hospital, LMU Munich, Munich, Germany </w:t>
      </w:r>
    </w:p>
    <w:p w14:paraId="22062271" w14:textId="77777777" w:rsidR="0063279A" w:rsidRPr="0040309B" w:rsidRDefault="0063279A" w:rsidP="0063279A">
      <w:pPr>
        <w:spacing w:line="360" w:lineRule="auto"/>
        <w:jc w:val="both"/>
        <w:rPr>
          <w:color w:val="000000"/>
          <w:sz w:val="22"/>
          <w:szCs w:val="22"/>
        </w:rPr>
      </w:pPr>
      <w:r w:rsidRPr="0040309B">
        <w:rPr>
          <w:color w:val="000000"/>
          <w:sz w:val="22"/>
          <w:szCs w:val="22"/>
          <w:vertAlign w:val="superscript"/>
        </w:rPr>
        <w:t>4</w:t>
      </w:r>
      <w:r w:rsidRPr="0040309B">
        <w:rPr>
          <w:color w:val="000000"/>
          <w:sz w:val="22"/>
          <w:szCs w:val="22"/>
        </w:rPr>
        <w:t xml:space="preserve"> Institute of Pathology, University Hospital, LMU Munich, Munich, Germany</w:t>
      </w:r>
    </w:p>
    <w:p w14:paraId="60640358" w14:textId="77777777" w:rsidR="0063279A" w:rsidRPr="0040309B" w:rsidRDefault="0063279A" w:rsidP="0063279A">
      <w:pPr>
        <w:spacing w:line="360" w:lineRule="auto"/>
        <w:jc w:val="both"/>
        <w:rPr>
          <w:color w:val="000000"/>
          <w:sz w:val="22"/>
          <w:szCs w:val="22"/>
        </w:rPr>
      </w:pPr>
    </w:p>
    <w:p w14:paraId="77E12CF1" w14:textId="77777777" w:rsidR="0063279A" w:rsidRPr="0040309B" w:rsidRDefault="0063279A" w:rsidP="0063279A">
      <w:pPr>
        <w:spacing w:line="360" w:lineRule="auto"/>
        <w:jc w:val="both"/>
        <w:rPr>
          <w:color w:val="000000"/>
          <w:sz w:val="22"/>
          <w:szCs w:val="22"/>
        </w:rPr>
      </w:pPr>
    </w:p>
    <w:p w14:paraId="148621EC" w14:textId="77777777" w:rsidR="0063279A" w:rsidRPr="0040309B" w:rsidRDefault="0063279A" w:rsidP="0063279A">
      <w:pPr>
        <w:spacing w:line="360" w:lineRule="auto"/>
        <w:jc w:val="both"/>
        <w:rPr>
          <w:color w:val="000000"/>
          <w:sz w:val="22"/>
          <w:szCs w:val="22"/>
        </w:rPr>
      </w:pPr>
    </w:p>
    <w:p w14:paraId="78D024AF" w14:textId="77777777" w:rsidR="0063279A" w:rsidRPr="0040309B" w:rsidRDefault="0063279A" w:rsidP="0063279A">
      <w:pPr>
        <w:spacing w:line="360" w:lineRule="auto"/>
        <w:jc w:val="both"/>
        <w:rPr>
          <w:b/>
          <w:color w:val="000000"/>
          <w:sz w:val="22"/>
          <w:szCs w:val="22"/>
        </w:rPr>
      </w:pPr>
      <w:r w:rsidRPr="0040309B">
        <w:rPr>
          <w:b/>
          <w:color w:val="000000"/>
          <w:sz w:val="22"/>
          <w:szCs w:val="22"/>
        </w:rPr>
        <w:t xml:space="preserve">Correspondence: </w:t>
      </w:r>
    </w:p>
    <w:p w14:paraId="641C587D" w14:textId="77777777" w:rsidR="0063279A" w:rsidRPr="0040309B" w:rsidRDefault="0063279A" w:rsidP="0063279A">
      <w:pPr>
        <w:spacing w:line="360" w:lineRule="auto"/>
        <w:jc w:val="both"/>
        <w:rPr>
          <w:color w:val="000000"/>
          <w:sz w:val="22"/>
          <w:szCs w:val="22"/>
        </w:rPr>
      </w:pPr>
      <w:r w:rsidRPr="0040309B">
        <w:rPr>
          <w:color w:val="000000"/>
          <w:sz w:val="22"/>
          <w:szCs w:val="22"/>
        </w:rPr>
        <w:t xml:space="preserve">mayerhofer@bmc.med.lmu.de </w:t>
      </w:r>
    </w:p>
    <w:p w14:paraId="2E7BAA9F" w14:textId="77777777" w:rsidR="0063279A" w:rsidRPr="0040309B" w:rsidRDefault="0063279A" w:rsidP="0063279A">
      <w:pPr>
        <w:spacing w:line="276" w:lineRule="auto"/>
        <w:jc w:val="both"/>
        <w:rPr>
          <w:color w:val="000000"/>
          <w:sz w:val="22"/>
          <w:szCs w:val="22"/>
          <w:u w:val="single"/>
        </w:rPr>
      </w:pPr>
      <w:hyperlink r:id="rId9">
        <w:r w:rsidRPr="0040309B">
          <w:rPr>
            <w:color w:val="000000"/>
            <w:sz w:val="22"/>
            <w:szCs w:val="22"/>
            <w:u w:val="single"/>
          </w:rPr>
          <w:t xml:space="preserve">https://orcid.org/0000-0002-9388-4639 </w:t>
        </w:r>
      </w:hyperlink>
    </w:p>
    <w:p w14:paraId="594D6F3A" w14:textId="77777777" w:rsidR="0063279A" w:rsidRPr="0040309B" w:rsidRDefault="0063279A" w:rsidP="0063279A">
      <w:pPr>
        <w:spacing w:line="360" w:lineRule="auto"/>
        <w:jc w:val="both"/>
        <w:rPr>
          <w:color w:val="000000"/>
          <w:sz w:val="22"/>
          <w:szCs w:val="22"/>
        </w:rPr>
      </w:pPr>
    </w:p>
    <w:p w14:paraId="0AB0D944" w14:textId="77777777" w:rsidR="0063279A" w:rsidRPr="0040309B" w:rsidRDefault="0063279A" w:rsidP="0063279A">
      <w:pPr>
        <w:spacing w:line="360" w:lineRule="auto"/>
        <w:jc w:val="both"/>
        <w:rPr>
          <w:color w:val="000000"/>
          <w:sz w:val="22"/>
          <w:szCs w:val="22"/>
        </w:rPr>
      </w:pPr>
    </w:p>
    <w:p w14:paraId="3D8BCD56" w14:textId="77777777" w:rsidR="0063279A" w:rsidRPr="0040309B" w:rsidRDefault="0063279A" w:rsidP="0063279A">
      <w:pPr>
        <w:spacing w:line="360" w:lineRule="auto"/>
        <w:jc w:val="both"/>
        <w:rPr>
          <w:color w:val="000000"/>
          <w:sz w:val="22"/>
          <w:szCs w:val="22"/>
        </w:rPr>
      </w:pPr>
    </w:p>
    <w:p w14:paraId="3F8F2C94" w14:textId="3E3D4BCE" w:rsidR="0063279A" w:rsidRPr="007A4DA0" w:rsidRDefault="0063279A" w:rsidP="0063279A">
      <w:pPr>
        <w:spacing w:line="360" w:lineRule="auto"/>
        <w:jc w:val="both"/>
        <w:rPr>
          <w:b/>
          <w:color w:val="000000"/>
          <w:sz w:val="22"/>
          <w:szCs w:val="22"/>
        </w:rPr>
      </w:pPr>
      <w:r w:rsidRPr="0040309B">
        <w:rPr>
          <w:b/>
          <w:color w:val="000000"/>
          <w:sz w:val="22"/>
          <w:szCs w:val="22"/>
        </w:rPr>
        <w:t xml:space="preserve">Grant support: </w:t>
      </w:r>
      <w:r w:rsidRPr="0040309B">
        <w:rPr>
          <w:color w:val="000000"/>
          <w:sz w:val="22"/>
          <w:szCs w:val="22"/>
        </w:rPr>
        <w:t>This study was funded by DFG project #456828204.</w:t>
      </w:r>
    </w:p>
    <w:p w14:paraId="1AAA4D84" w14:textId="77777777" w:rsidR="0063279A" w:rsidRPr="0040309B" w:rsidRDefault="0063279A" w:rsidP="0063279A">
      <w:pPr>
        <w:spacing w:line="360" w:lineRule="auto"/>
        <w:jc w:val="both"/>
        <w:rPr>
          <w:color w:val="000000"/>
          <w:sz w:val="22"/>
          <w:szCs w:val="22"/>
        </w:rPr>
      </w:pPr>
      <w:r w:rsidRPr="0040309B">
        <w:rPr>
          <w:b/>
          <w:color w:val="000000"/>
          <w:sz w:val="22"/>
          <w:szCs w:val="22"/>
        </w:rPr>
        <w:t>Key words</w:t>
      </w:r>
      <w:r w:rsidRPr="0040309B">
        <w:rPr>
          <w:color w:val="000000"/>
          <w:sz w:val="22"/>
          <w:szCs w:val="22"/>
        </w:rPr>
        <w:t>: Ovary, granulosa cell tumor, cell death, biomarker, drug target</w:t>
      </w:r>
    </w:p>
    <w:p w14:paraId="66A16749" w14:textId="77777777" w:rsidR="0063279A" w:rsidRPr="0040309B" w:rsidRDefault="0063279A" w:rsidP="0063279A">
      <w:pPr>
        <w:spacing w:line="360" w:lineRule="auto"/>
        <w:jc w:val="both"/>
        <w:rPr>
          <w:b/>
          <w:color w:val="000000"/>
          <w:sz w:val="22"/>
          <w:szCs w:val="22"/>
          <w:u w:val="single"/>
        </w:rPr>
      </w:pPr>
      <w:r w:rsidRPr="0040309B">
        <w:rPr>
          <w:b/>
          <w:color w:val="000000"/>
          <w:sz w:val="22"/>
          <w:szCs w:val="22"/>
        </w:rPr>
        <w:t>Short title</w:t>
      </w:r>
      <w:r w:rsidRPr="0040309B">
        <w:rPr>
          <w:color w:val="000000"/>
          <w:sz w:val="22"/>
          <w:szCs w:val="22"/>
        </w:rPr>
        <w:t xml:space="preserve">: Cannabidiol and cell death in human granulosa tumor cells </w:t>
      </w:r>
    </w:p>
    <w:p w14:paraId="5904447E" w14:textId="77777777" w:rsidR="00DD01E5" w:rsidRPr="0040309B" w:rsidRDefault="00DD01E5">
      <w:pPr>
        <w:rPr>
          <w:color w:val="000000"/>
          <w:sz w:val="22"/>
          <w:szCs w:val="22"/>
        </w:rPr>
      </w:pPr>
    </w:p>
    <w:p w14:paraId="13C481F9" w14:textId="77777777" w:rsidR="0063279A" w:rsidRPr="0040309B" w:rsidRDefault="0063279A">
      <w:pPr>
        <w:spacing w:line="360" w:lineRule="auto"/>
        <w:jc w:val="center"/>
        <w:rPr>
          <w:b/>
          <w:color w:val="000000"/>
          <w:sz w:val="22"/>
          <w:szCs w:val="22"/>
        </w:rPr>
      </w:pPr>
    </w:p>
    <w:p w14:paraId="74BAEC05" w14:textId="5091E35E" w:rsidR="007A4DA0" w:rsidRDefault="007A4DA0">
      <w:pPr>
        <w:rPr>
          <w:b/>
          <w:color w:val="000000"/>
          <w:sz w:val="22"/>
          <w:szCs w:val="22"/>
        </w:rPr>
      </w:pPr>
      <w:r>
        <w:rPr>
          <w:b/>
          <w:color w:val="000000"/>
          <w:sz w:val="22"/>
          <w:szCs w:val="22"/>
        </w:rPr>
        <w:br w:type="page"/>
      </w:r>
    </w:p>
    <w:p w14:paraId="32A5D37F" w14:textId="77777777" w:rsidR="00DD01E5" w:rsidRPr="0040309B" w:rsidRDefault="00000000" w:rsidP="007A4DA0">
      <w:pPr>
        <w:spacing w:line="360" w:lineRule="auto"/>
        <w:jc w:val="center"/>
        <w:rPr>
          <w:b/>
          <w:color w:val="000000"/>
          <w:sz w:val="22"/>
          <w:szCs w:val="22"/>
        </w:rPr>
      </w:pPr>
      <w:r w:rsidRPr="0040309B">
        <w:rPr>
          <w:b/>
          <w:color w:val="000000"/>
          <w:sz w:val="22"/>
          <w:szCs w:val="22"/>
        </w:rPr>
        <w:lastRenderedPageBreak/>
        <w:t>Supplementary Files</w:t>
      </w:r>
    </w:p>
    <w:p w14:paraId="1EAF7605" w14:textId="77777777" w:rsidR="00DD01E5" w:rsidRPr="0040309B" w:rsidRDefault="00DD01E5">
      <w:pPr>
        <w:spacing w:line="360" w:lineRule="auto"/>
        <w:jc w:val="center"/>
        <w:rPr>
          <w:b/>
          <w:color w:val="000000"/>
          <w:sz w:val="22"/>
          <w:szCs w:val="22"/>
        </w:rPr>
      </w:pPr>
    </w:p>
    <w:p w14:paraId="10361F1C" w14:textId="3F14EBAC" w:rsidR="006156A8" w:rsidRPr="0040309B" w:rsidRDefault="006156A8" w:rsidP="00EB753A">
      <w:pPr>
        <w:spacing w:line="360" w:lineRule="auto"/>
        <w:rPr>
          <w:b/>
          <w:color w:val="000000"/>
          <w:sz w:val="22"/>
          <w:szCs w:val="22"/>
        </w:rPr>
      </w:pPr>
      <w:r w:rsidRPr="0040309B">
        <w:rPr>
          <w:b/>
          <w:color w:val="000000"/>
          <w:sz w:val="22"/>
          <w:szCs w:val="22"/>
        </w:rPr>
        <w:t>Supplementary Figure 1:</w:t>
      </w:r>
      <w:r w:rsidR="006E2A1A" w:rsidRPr="0040309B">
        <w:rPr>
          <w:b/>
          <w:color w:val="000000"/>
          <w:sz w:val="22"/>
          <w:szCs w:val="22"/>
        </w:rPr>
        <w:t xml:space="preserve"> </w:t>
      </w:r>
      <w:r w:rsidR="00C3563E" w:rsidRPr="0040309B">
        <w:rPr>
          <w:b/>
          <w:color w:val="000000"/>
          <w:sz w:val="22"/>
          <w:szCs w:val="22"/>
        </w:rPr>
        <w:t xml:space="preserve">Proliferation index </w:t>
      </w:r>
      <w:r w:rsidRPr="0040309B">
        <w:rPr>
          <w:b/>
          <w:color w:val="000000"/>
          <w:sz w:val="22"/>
          <w:szCs w:val="22"/>
        </w:rPr>
        <w:t>Ki67</w:t>
      </w:r>
      <w:r w:rsidR="006E2A1A" w:rsidRPr="0040309B">
        <w:rPr>
          <w:b/>
          <w:color w:val="000000"/>
          <w:sz w:val="22"/>
          <w:szCs w:val="22"/>
        </w:rPr>
        <w:t xml:space="preserve"> and TRPV2</w:t>
      </w:r>
      <w:r w:rsidR="0033151F" w:rsidRPr="0040309B">
        <w:rPr>
          <w:b/>
          <w:color w:val="000000"/>
          <w:sz w:val="22"/>
          <w:szCs w:val="22"/>
        </w:rPr>
        <w:t xml:space="preserve"> expression, examples of TRPV2 staining of GCT samples</w:t>
      </w:r>
      <w:r w:rsidRPr="0040309B">
        <w:rPr>
          <w:b/>
          <w:color w:val="000000"/>
          <w:sz w:val="22"/>
          <w:szCs w:val="22"/>
        </w:rPr>
        <w:t xml:space="preserve"> and patient data</w:t>
      </w:r>
      <w:r w:rsidR="00A7385B" w:rsidRPr="0040309B">
        <w:rPr>
          <w:b/>
          <w:color w:val="000000"/>
          <w:sz w:val="22"/>
          <w:szCs w:val="22"/>
        </w:rPr>
        <w:t>.</w:t>
      </w:r>
    </w:p>
    <w:p w14:paraId="539CE76F" w14:textId="77777777" w:rsidR="00DC4C76" w:rsidRDefault="0033151F" w:rsidP="00A7385B">
      <w:pPr>
        <w:pStyle w:val="Listenabsatz"/>
        <w:numPr>
          <w:ilvl w:val="0"/>
          <w:numId w:val="4"/>
        </w:numPr>
        <w:spacing w:line="360" w:lineRule="auto"/>
        <w:rPr>
          <w:bCs/>
          <w:color w:val="000000"/>
          <w:sz w:val="22"/>
          <w:szCs w:val="22"/>
        </w:rPr>
      </w:pPr>
      <w:r w:rsidRPr="0040309B">
        <w:rPr>
          <w:bCs/>
          <w:color w:val="000000"/>
          <w:sz w:val="22"/>
          <w:szCs w:val="22"/>
        </w:rPr>
        <w:t xml:space="preserve">Ki67 expression </w:t>
      </w:r>
      <w:r w:rsidR="008065C0">
        <w:rPr>
          <w:bCs/>
          <w:color w:val="000000"/>
          <w:sz w:val="22"/>
          <w:szCs w:val="22"/>
        </w:rPr>
        <w:t xml:space="preserve">of tumor samples </w:t>
      </w:r>
      <w:r w:rsidRPr="0040309B">
        <w:rPr>
          <w:bCs/>
          <w:color w:val="000000"/>
          <w:sz w:val="22"/>
          <w:szCs w:val="22"/>
        </w:rPr>
        <w:t xml:space="preserve">(&lt;5%; 5-10%; 11-20%) and immunoreactivity for TRPV2 (strong +++; medium/weak ++/+, negative -) </w:t>
      </w:r>
      <w:r w:rsidR="008A4DC7" w:rsidRPr="0040309B">
        <w:rPr>
          <w:bCs/>
          <w:color w:val="000000"/>
          <w:sz w:val="22"/>
          <w:szCs w:val="22"/>
        </w:rPr>
        <w:t xml:space="preserve">in </w:t>
      </w:r>
      <w:r w:rsidRPr="0040309B">
        <w:rPr>
          <w:bCs/>
          <w:color w:val="000000"/>
          <w:sz w:val="22"/>
          <w:szCs w:val="22"/>
        </w:rPr>
        <w:t>n=63 GCT samples; e</w:t>
      </w:r>
      <w:r w:rsidR="00B6010D" w:rsidRPr="0040309B">
        <w:rPr>
          <w:bCs/>
          <w:color w:val="000000"/>
          <w:sz w:val="22"/>
          <w:szCs w:val="22"/>
        </w:rPr>
        <w:t>xam</w:t>
      </w:r>
      <w:r w:rsidR="00B2024E" w:rsidRPr="0040309B">
        <w:rPr>
          <w:bCs/>
          <w:color w:val="000000"/>
          <w:sz w:val="22"/>
          <w:szCs w:val="22"/>
        </w:rPr>
        <w:t>p</w:t>
      </w:r>
      <w:r w:rsidR="00B6010D" w:rsidRPr="0040309B">
        <w:rPr>
          <w:bCs/>
          <w:color w:val="000000"/>
          <w:sz w:val="22"/>
          <w:szCs w:val="22"/>
        </w:rPr>
        <w:t xml:space="preserve">les for </w:t>
      </w:r>
      <w:r w:rsidR="007A4DA0">
        <w:rPr>
          <w:bCs/>
          <w:color w:val="000000"/>
          <w:sz w:val="22"/>
          <w:szCs w:val="22"/>
        </w:rPr>
        <w:t>strong (left panel)</w:t>
      </w:r>
      <w:r w:rsidRPr="0040309B">
        <w:rPr>
          <w:bCs/>
          <w:color w:val="000000"/>
          <w:sz w:val="22"/>
          <w:szCs w:val="22"/>
        </w:rPr>
        <w:t>, intermediate</w:t>
      </w:r>
      <w:r w:rsidR="007A4DA0">
        <w:rPr>
          <w:bCs/>
          <w:color w:val="000000"/>
          <w:sz w:val="22"/>
          <w:szCs w:val="22"/>
        </w:rPr>
        <w:t xml:space="preserve"> (middle panel)</w:t>
      </w:r>
      <w:r w:rsidRPr="0040309B">
        <w:rPr>
          <w:bCs/>
          <w:color w:val="000000"/>
          <w:sz w:val="22"/>
          <w:szCs w:val="22"/>
        </w:rPr>
        <w:t xml:space="preserve"> and </w:t>
      </w:r>
      <w:r w:rsidR="007A4DA0">
        <w:rPr>
          <w:bCs/>
          <w:color w:val="000000"/>
          <w:sz w:val="22"/>
          <w:szCs w:val="22"/>
        </w:rPr>
        <w:t>absent</w:t>
      </w:r>
      <w:r w:rsidR="00B6010D" w:rsidRPr="0040309B">
        <w:rPr>
          <w:bCs/>
          <w:color w:val="000000"/>
          <w:sz w:val="22"/>
          <w:szCs w:val="22"/>
        </w:rPr>
        <w:t xml:space="preserve"> expression</w:t>
      </w:r>
      <w:r w:rsidR="007A4DA0">
        <w:rPr>
          <w:bCs/>
          <w:color w:val="000000"/>
          <w:sz w:val="22"/>
          <w:szCs w:val="22"/>
        </w:rPr>
        <w:t xml:space="preserve"> (right panel)</w:t>
      </w:r>
      <w:r w:rsidR="00B6010D" w:rsidRPr="0040309B">
        <w:rPr>
          <w:bCs/>
          <w:color w:val="000000"/>
          <w:sz w:val="22"/>
          <w:szCs w:val="22"/>
        </w:rPr>
        <w:t xml:space="preserve"> </w:t>
      </w:r>
      <w:r w:rsidRPr="0040309B">
        <w:rPr>
          <w:bCs/>
          <w:color w:val="000000"/>
          <w:sz w:val="22"/>
          <w:szCs w:val="22"/>
        </w:rPr>
        <w:t xml:space="preserve">are shown </w:t>
      </w:r>
    </w:p>
    <w:p w14:paraId="43DE25AB" w14:textId="71974772" w:rsidR="00B6010D" w:rsidRPr="0040309B" w:rsidRDefault="0033151F" w:rsidP="00DC4C76">
      <w:pPr>
        <w:pStyle w:val="Listenabsatz"/>
        <w:spacing w:line="360" w:lineRule="auto"/>
        <w:ind w:left="927"/>
        <w:rPr>
          <w:bCs/>
          <w:color w:val="000000"/>
          <w:sz w:val="22"/>
          <w:szCs w:val="22"/>
        </w:rPr>
      </w:pPr>
      <w:r w:rsidRPr="0040309B">
        <w:rPr>
          <w:bCs/>
          <w:color w:val="000000"/>
          <w:sz w:val="22"/>
          <w:szCs w:val="22"/>
        </w:rPr>
        <w:t>(</w:t>
      </w:r>
      <w:r w:rsidR="00B6010D" w:rsidRPr="0040309B">
        <w:rPr>
          <w:bCs/>
          <w:color w:val="000000"/>
          <w:sz w:val="22"/>
          <w:szCs w:val="22"/>
        </w:rPr>
        <w:t>* blood vessel).</w:t>
      </w:r>
    </w:p>
    <w:p w14:paraId="0762F0CD" w14:textId="40E62222" w:rsidR="00B6010D" w:rsidRPr="0040309B" w:rsidRDefault="00B6010D" w:rsidP="00EB753A">
      <w:pPr>
        <w:pStyle w:val="Listenabsatz"/>
        <w:numPr>
          <w:ilvl w:val="0"/>
          <w:numId w:val="4"/>
        </w:numPr>
        <w:spacing w:line="360" w:lineRule="auto"/>
        <w:rPr>
          <w:bCs/>
          <w:color w:val="000000"/>
          <w:sz w:val="22"/>
          <w:szCs w:val="22"/>
        </w:rPr>
      </w:pPr>
      <w:r w:rsidRPr="0040309B">
        <w:rPr>
          <w:bCs/>
          <w:color w:val="000000"/>
          <w:sz w:val="22"/>
          <w:szCs w:val="22"/>
        </w:rPr>
        <w:t>Age distribution of pati</w:t>
      </w:r>
      <w:r w:rsidR="00B2024E" w:rsidRPr="0040309B">
        <w:rPr>
          <w:bCs/>
          <w:color w:val="000000"/>
          <w:sz w:val="22"/>
          <w:szCs w:val="22"/>
        </w:rPr>
        <w:t>en</w:t>
      </w:r>
      <w:r w:rsidRPr="0040309B">
        <w:rPr>
          <w:bCs/>
          <w:color w:val="000000"/>
          <w:sz w:val="22"/>
          <w:szCs w:val="22"/>
        </w:rPr>
        <w:t>ts with GCT</w:t>
      </w:r>
      <w:r w:rsidR="00B2024E" w:rsidRPr="0040309B">
        <w:rPr>
          <w:bCs/>
          <w:color w:val="000000"/>
          <w:sz w:val="22"/>
          <w:szCs w:val="22"/>
        </w:rPr>
        <w:t>s</w:t>
      </w:r>
      <w:r w:rsidRPr="0040309B">
        <w:rPr>
          <w:bCs/>
          <w:color w:val="000000"/>
          <w:sz w:val="22"/>
          <w:szCs w:val="22"/>
        </w:rPr>
        <w:t xml:space="preserve"> w</w:t>
      </w:r>
      <w:r w:rsidR="00B2024E" w:rsidRPr="0040309B">
        <w:rPr>
          <w:bCs/>
          <w:color w:val="000000"/>
          <w:sz w:val="22"/>
          <w:szCs w:val="22"/>
        </w:rPr>
        <w:t>ith</w:t>
      </w:r>
      <w:r w:rsidRPr="0040309B">
        <w:rPr>
          <w:bCs/>
          <w:color w:val="000000"/>
          <w:sz w:val="22"/>
          <w:szCs w:val="22"/>
        </w:rPr>
        <w:t xml:space="preserve"> stron</w:t>
      </w:r>
      <w:r w:rsidR="00B2024E" w:rsidRPr="0040309B">
        <w:rPr>
          <w:bCs/>
          <w:color w:val="000000"/>
          <w:sz w:val="22"/>
          <w:szCs w:val="22"/>
        </w:rPr>
        <w:t>g</w:t>
      </w:r>
      <w:r w:rsidRPr="0040309B">
        <w:rPr>
          <w:bCs/>
          <w:color w:val="000000"/>
          <w:sz w:val="22"/>
          <w:szCs w:val="22"/>
        </w:rPr>
        <w:t xml:space="preserve"> (+++) and medium/weak</w:t>
      </w:r>
      <w:r w:rsidR="007A4DA0">
        <w:rPr>
          <w:bCs/>
          <w:color w:val="000000"/>
          <w:sz w:val="22"/>
          <w:szCs w:val="22"/>
        </w:rPr>
        <w:t xml:space="preserve"> (++/+) or negative (-) </w:t>
      </w:r>
      <w:r w:rsidRPr="0040309B">
        <w:rPr>
          <w:bCs/>
          <w:color w:val="000000"/>
          <w:sz w:val="22"/>
          <w:szCs w:val="22"/>
        </w:rPr>
        <w:t>staining fo</w:t>
      </w:r>
      <w:r w:rsidR="00B2024E" w:rsidRPr="0040309B">
        <w:rPr>
          <w:bCs/>
          <w:color w:val="000000"/>
          <w:sz w:val="22"/>
          <w:szCs w:val="22"/>
        </w:rPr>
        <w:t>r</w:t>
      </w:r>
      <w:r w:rsidRPr="0040309B">
        <w:rPr>
          <w:bCs/>
          <w:color w:val="000000"/>
          <w:sz w:val="22"/>
          <w:szCs w:val="22"/>
        </w:rPr>
        <w:t xml:space="preserve"> TRPV2 (</w:t>
      </w:r>
      <w:proofErr w:type="spellStart"/>
      <w:r w:rsidRPr="0040309B">
        <w:rPr>
          <w:bCs/>
          <w:color w:val="000000"/>
          <w:sz w:val="22"/>
          <w:szCs w:val="22"/>
        </w:rPr>
        <w:t>n</w:t>
      </w:r>
      <w:r w:rsidR="008A4DC7" w:rsidRPr="0040309B">
        <w:rPr>
          <w:bCs/>
          <w:color w:val="000000"/>
          <w:sz w:val="22"/>
          <w:szCs w:val="22"/>
        </w:rPr>
        <w:t>.</w:t>
      </w:r>
      <w:r w:rsidRPr="0040309B">
        <w:rPr>
          <w:bCs/>
          <w:color w:val="000000"/>
          <w:sz w:val="22"/>
          <w:szCs w:val="22"/>
        </w:rPr>
        <w:t>s</w:t>
      </w:r>
      <w:proofErr w:type="spellEnd"/>
      <w:r w:rsidR="008A4DC7" w:rsidRPr="0040309B">
        <w:rPr>
          <w:bCs/>
          <w:color w:val="000000"/>
          <w:sz w:val="22"/>
          <w:szCs w:val="22"/>
        </w:rPr>
        <w:t>.</w:t>
      </w:r>
      <w:r w:rsidRPr="0040309B">
        <w:rPr>
          <w:bCs/>
          <w:color w:val="000000"/>
          <w:sz w:val="22"/>
          <w:szCs w:val="22"/>
        </w:rPr>
        <w:t>: not sign</w:t>
      </w:r>
      <w:r w:rsidR="00B2024E" w:rsidRPr="0040309B">
        <w:rPr>
          <w:bCs/>
          <w:color w:val="000000"/>
          <w:sz w:val="22"/>
          <w:szCs w:val="22"/>
        </w:rPr>
        <w:t>ifi</w:t>
      </w:r>
      <w:r w:rsidRPr="0040309B">
        <w:rPr>
          <w:bCs/>
          <w:color w:val="000000"/>
          <w:sz w:val="22"/>
          <w:szCs w:val="22"/>
        </w:rPr>
        <w:t>cant)</w:t>
      </w:r>
    </w:p>
    <w:p w14:paraId="00F208C3" w14:textId="5B1BE836" w:rsidR="008B0A41" w:rsidRPr="0040309B" w:rsidRDefault="00E84978" w:rsidP="00EB753A">
      <w:pPr>
        <w:pStyle w:val="Listenabsatz"/>
        <w:numPr>
          <w:ilvl w:val="0"/>
          <w:numId w:val="4"/>
        </w:numPr>
        <w:spacing w:line="360" w:lineRule="auto"/>
        <w:rPr>
          <w:bCs/>
          <w:color w:val="000000"/>
          <w:sz w:val="22"/>
          <w:szCs w:val="22"/>
        </w:rPr>
      </w:pPr>
      <w:r>
        <w:rPr>
          <w:bCs/>
          <w:color w:val="000000"/>
          <w:sz w:val="22"/>
          <w:szCs w:val="22"/>
        </w:rPr>
        <w:t>I</w:t>
      </w:r>
      <w:r w:rsidR="0033151F" w:rsidRPr="0040309B">
        <w:rPr>
          <w:bCs/>
          <w:color w:val="000000"/>
          <w:sz w:val="22"/>
          <w:szCs w:val="22"/>
        </w:rPr>
        <w:t>ntensities of TRPV2 staining (+++; ++/+/-</w:t>
      </w:r>
      <w:r w:rsidR="008B0A41" w:rsidRPr="0040309B">
        <w:rPr>
          <w:bCs/>
          <w:color w:val="000000"/>
          <w:sz w:val="22"/>
          <w:szCs w:val="22"/>
        </w:rPr>
        <w:t xml:space="preserve">) </w:t>
      </w:r>
      <w:r w:rsidR="0033151F" w:rsidRPr="0040309B">
        <w:rPr>
          <w:bCs/>
          <w:color w:val="000000"/>
          <w:sz w:val="22"/>
          <w:szCs w:val="22"/>
        </w:rPr>
        <w:t>in</w:t>
      </w:r>
      <w:r w:rsidR="008B0A41" w:rsidRPr="0040309B">
        <w:rPr>
          <w:bCs/>
          <w:color w:val="000000"/>
          <w:sz w:val="22"/>
          <w:szCs w:val="22"/>
        </w:rPr>
        <w:t xml:space="preserve"> primary and recurrent tumors</w:t>
      </w:r>
      <w:r w:rsidR="0033151F" w:rsidRPr="0040309B">
        <w:rPr>
          <w:bCs/>
          <w:color w:val="000000"/>
          <w:sz w:val="22"/>
          <w:szCs w:val="22"/>
        </w:rPr>
        <w:t xml:space="preserve"> (n=63) and correlation to tumor stages (pT1 and pT2-3)</w:t>
      </w:r>
      <w:r w:rsidR="008A4DC7" w:rsidRPr="0040309B">
        <w:rPr>
          <w:bCs/>
          <w:color w:val="000000"/>
          <w:sz w:val="22"/>
          <w:szCs w:val="22"/>
        </w:rPr>
        <w:t xml:space="preserve"> in n=33 GCT samples</w:t>
      </w:r>
      <w:r w:rsidR="008B0A41" w:rsidRPr="0040309B">
        <w:rPr>
          <w:bCs/>
          <w:color w:val="000000"/>
          <w:sz w:val="22"/>
          <w:szCs w:val="22"/>
        </w:rPr>
        <w:t xml:space="preserve">. </w:t>
      </w:r>
    </w:p>
    <w:p w14:paraId="7213454D" w14:textId="58A842D2" w:rsidR="006156A8" w:rsidRPr="0040309B" w:rsidRDefault="008065C0" w:rsidP="00EB753A">
      <w:pPr>
        <w:ind w:left="720"/>
        <w:rPr>
          <w:bCs/>
          <w:color w:val="000000"/>
          <w:sz w:val="22"/>
          <w:szCs w:val="22"/>
        </w:rPr>
      </w:pPr>
      <w:r>
        <w:rPr>
          <w:bCs/>
          <w:noProof/>
          <w:color w:val="000000"/>
          <w:sz w:val="22"/>
          <w:szCs w:val="22"/>
        </w:rPr>
        <w:drawing>
          <wp:anchor distT="0" distB="0" distL="114300" distR="114300" simplePos="0" relativeHeight="251674624" behindDoc="0" locked="0" layoutInCell="1" allowOverlap="1" wp14:anchorId="2E066AF0" wp14:editId="40FF64D5">
            <wp:simplePos x="0" y="0"/>
            <wp:positionH relativeFrom="margin">
              <wp:posOffset>-834339</wp:posOffset>
            </wp:positionH>
            <wp:positionV relativeFrom="margin">
              <wp:posOffset>3327857</wp:posOffset>
            </wp:positionV>
            <wp:extent cx="7362190" cy="5098415"/>
            <wp:effectExtent l="0" t="0" r="3810" b="0"/>
            <wp:wrapSquare wrapText="bothSides"/>
            <wp:docPr id="18795125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51253" name="Grafik 187951253"/>
                    <pic:cNvPicPr/>
                  </pic:nvPicPr>
                  <pic:blipFill>
                    <a:blip r:embed="rId10">
                      <a:extLst>
                        <a:ext uri="{28A0092B-C50C-407E-A947-70E740481C1C}">
                          <a14:useLocalDpi xmlns:a14="http://schemas.microsoft.com/office/drawing/2010/main" val="0"/>
                        </a:ext>
                      </a:extLst>
                    </a:blip>
                    <a:stretch>
                      <a:fillRect/>
                    </a:stretch>
                  </pic:blipFill>
                  <pic:spPr>
                    <a:xfrm>
                      <a:off x="0" y="0"/>
                      <a:ext cx="7362190" cy="5098415"/>
                    </a:xfrm>
                    <a:prstGeom prst="rect">
                      <a:avLst/>
                    </a:prstGeom>
                  </pic:spPr>
                </pic:pic>
              </a:graphicData>
            </a:graphic>
            <wp14:sizeRelH relativeFrom="margin">
              <wp14:pctWidth>0</wp14:pctWidth>
            </wp14:sizeRelH>
            <wp14:sizeRelV relativeFrom="margin">
              <wp14:pctHeight>0</wp14:pctHeight>
            </wp14:sizeRelV>
          </wp:anchor>
        </w:drawing>
      </w:r>
      <w:r w:rsidR="008B0A41" w:rsidRPr="0040309B">
        <w:rPr>
          <w:bCs/>
          <w:color w:val="000000"/>
          <w:sz w:val="22"/>
          <w:szCs w:val="22"/>
        </w:rPr>
        <w:t xml:space="preserve"> </w:t>
      </w:r>
      <w:r w:rsidR="006156A8" w:rsidRPr="0040309B">
        <w:rPr>
          <w:bCs/>
          <w:color w:val="000000"/>
          <w:sz w:val="22"/>
          <w:szCs w:val="22"/>
        </w:rPr>
        <w:br w:type="page"/>
      </w:r>
    </w:p>
    <w:p w14:paraId="166AC2BD" w14:textId="77777777" w:rsidR="00532236" w:rsidRPr="0040309B" w:rsidRDefault="00A7385B" w:rsidP="00532236">
      <w:pPr>
        <w:spacing w:line="360" w:lineRule="auto"/>
        <w:rPr>
          <w:b/>
          <w:color w:val="000000"/>
          <w:sz w:val="22"/>
          <w:szCs w:val="22"/>
        </w:rPr>
      </w:pPr>
      <w:r w:rsidRPr="0040309B">
        <w:rPr>
          <w:b/>
          <w:color w:val="000000"/>
          <w:sz w:val="22"/>
          <w:szCs w:val="22"/>
        </w:rPr>
        <w:lastRenderedPageBreak/>
        <w:t>Supplementary Figure 2: Immunofluorescence co-localization studies in KGN cells</w:t>
      </w:r>
      <w:r w:rsidR="00841FE7" w:rsidRPr="0040309B">
        <w:rPr>
          <w:b/>
          <w:color w:val="000000"/>
          <w:sz w:val="22"/>
          <w:szCs w:val="22"/>
        </w:rPr>
        <w:t xml:space="preserve"> </w:t>
      </w:r>
    </w:p>
    <w:p w14:paraId="02FD9FA0" w14:textId="77777777" w:rsidR="00E84978" w:rsidRDefault="00A7385B" w:rsidP="00E84978">
      <w:pPr>
        <w:spacing w:line="360" w:lineRule="auto"/>
        <w:rPr>
          <w:b/>
          <w:color w:val="000000"/>
          <w:sz w:val="22"/>
          <w:szCs w:val="22"/>
        </w:rPr>
      </w:pPr>
      <w:r w:rsidRPr="0040309B">
        <w:rPr>
          <w:color w:val="000000"/>
          <w:sz w:val="22"/>
          <w:szCs w:val="22"/>
        </w:rPr>
        <w:t>Immunofluorescen</w:t>
      </w:r>
      <w:r w:rsidR="00DE1119" w:rsidRPr="0040309B">
        <w:rPr>
          <w:color w:val="000000"/>
          <w:sz w:val="22"/>
          <w:szCs w:val="22"/>
        </w:rPr>
        <w:t>c</w:t>
      </w:r>
      <w:r w:rsidRPr="0040309B">
        <w:rPr>
          <w:color w:val="000000"/>
          <w:sz w:val="22"/>
          <w:szCs w:val="22"/>
        </w:rPr>
        <w:t xml:space="preserve">e detection of TRPV2 </w:t>
      </w:r>
      <w:r w:rsidR="00DE1119" w:rsidRPr="0040309B">
        <w:rPr>
          <w:color w:val="000000"/>
          <w:sz w:val="22"/>
          <w:szCs w:val="22"/>
        </w:rPr>
        <w:t xml:space="preserve">(red) </w:t>
      </w:r>
      <w:r w:rsidRPr="0040309B">
        <w:rPr>
          <w:color w:val="000000"/>
          <w:sz w:val="22"/>
          <w:szCs w:val="22"/>
        </w:rPr>
        <w:t>and the ER marker calreticulin</w:t>
      </w:r>
      <w:r w:rsidR="00DE1119" w:rsidRPr="0040309B">
        <w:rPr>
          <w:color w:val="000000"/>
          <w:sz w:val="22"/>
          <w:szCs w:val="22"/>
        </w:rPr>
        <w:t xml:space="preserve"> (green)</w:t>
      </w:r>
      <w:r w:rsidRPr="0040309B">
        <w:rPr>
          <w:color w:val="000000"/>
          <w:sz w:val="22"/>
          <w:szCs w:val="22"/>
        </w:rPr>
        <w:t>; bar: 10 µm</w:t>
      </w:r>
    </w:p>
    <w:p w14:paraId="3299E7A6" w14:textId="1F41B0C9" w:rsidR="00E84978" w:rsidRPr="00E84978" w:rsidRDefault="00E84978" w:rsidP="00E84978">
      <w:pPr>
        <w:pStyle w:val="Listenabsatz"/>
        <w:numPr>
          <w:ilvl w:val="0"/>
          <w:numId w:val="6"/>
        </w:numPr>
        <w:spacing w:line="360" w:lineRule="auto"/>
        <w:rPr>
          <w:b/>
          <w:color w:val="000000"/>
          <w:sz w:val="22"/>
          <w:szCs w:val="22"/>
        </w:rPr>
      </w:pPr>
      <w:r w:rsidRPr="00E84978">
        <w:rPr>
          <w:color w:val="000000"/>
          <w:sz w:val="22"/>
          <w:szCs w:val="22"/>
        </w:rPr>
        <w:t>Immunofluorescence detection of TRPV2 (red) and the ER marker calreticulin (green)</w:t>
      </w:r>
      <w:r>
        <w:rPr>
          <w:color w:val="000000"/>
          <w:sz w:val="22"/>
          <w:szCs w:val="22"/>
        </w:rPr>
        <w:t>;</w:t>
      </w:r>
      <w:r w:rsidRPr="00E84978">
        <w:rPr>
          <w:color w:val="000000"/>
          <w:sz w:val="22"/>
          <w:szCs w:val="22"/>
        </w:rPr>
        <w:t xml:space="preserve"> nuclei were stained with DAPI. Single channels and merged micrograph. Scale bar 10 µm.</w:t>
      </w:r>
    </w:p>
    <w:p w14:paraId="555899AE" w14:textId="176F798D" w:rsidR="00E84978" w:rsidRPr="00B7768B" w:rsidRDefault="00E84978" w:rsidP="00E84978">
      <w:pPr>
        <w:pStyle w:val="Listenabsatz"/>
        <w:numPr>
          <w:ilvl w:val="0"/>
          <w:numId w:val="6"/>
        </w:numPr>
        <w:spacing w:line="360" w:lineRule="auto"/>
        <w:rPr>
          <w:b/>
          <w:color w:val="000000"/>
          <w:sz w:val="22"/>
          <w:szCs w:val="22"/>
        </w:rPr>
      </w:pPr>
      <w:r w:rsidRPr="0040309B">
        <w:rPr>
          <w:color w:val="000000"/>
          <w:sz w:val="22"/>
          <w:szCs w:val="22"/>
        </w:rPr>
        <w:t>Immunofluorescence detection of TRPV2 (green) and VDAC (red)</w:t>
      </w:r>
      <w:r>
        <w:rPr>
          <w:color w:val="000000"/>
          <w:sz w:val="22"/>
          <w:szCs w:val="22"/>
        </w:rPr>
        <w:t>; nuclei were stained with DAPI. Single channel and merged micrographs. Scale</w:t>
      </w:r>
      <w:r w:rsidRPr="0040309B">
        <w:rPr>
          <w:color w:val="000000"/>
          <w:sz w:val="22"/>
          <w:szCs w:val="22"/>
        </w:rPr>
        <w:t xml:space="preserve"> bar 10</w:t>
      </w:r>
      <w:r>
        <w:rPr>
          <w:color w:val="000000"/>
          <w:sz w:val="22"/>
          <w:szCs w:val="22"/>
        </w:rPr>
        <w:t xml:space="preserve"> µm.</w:t>
      </w:r>
    </w:p>
    <w:p w14:paraId="430C81E6" w14:textId="3627C844" w:rsidR="00E84978" w:rsidRPr="00B7768B" w:rsidRDefault="00E84978" w:rsidP="00E84978">
      <w:pPr>
        <w:pStyle w:val="Listenabsatz"/>
        <w:numPr>
          <w:ilvl w:val="0"/>
          <w:numId w:val="6"/>
        </w:numPr>
        <w:spacing w:line="360" w:lineRule="auto"/>
        <w:rPr>
          <w:b/>
          <w:color w:val="000000"/>
          <w:sz w:val="22"/>
          <w:szCs w:val="22"/>
        </w:rPr>
      </w:pPr>
      <w:r w:rsidRPr="0040309B">
        <w:rPr>
          <w:b/>
          <w:noProof/>
        </w:rPr>
        <w:drawing>
          <wp:anchor distT="0" distB="0" distL="114300" distR="114300" simplePos="0" relativeHeight="251671552" behindDoc="0" locked="0" layoutInCell="1" allowOverlap="1" wp14:anchorId="7579EB96" wp14:editId="2F393F2E">
            <wp:simplePos x="0" y="0"/>
            <wp:positionH relativeFrom="margin">
              <wp:posOffset>-699135</wp:posOffset>
            </wp:positionH>
            <wp:positionV relativeFrom="margin">
              <wp:posOffset>2132127</wp:posOffset>
            </wp:positionV>
            <wp:extent cx="7270750" cy="4897120"/>
            <wp:effectExtent l="0" t="0" r="6350" b="5080"/>
            <wp:wrapSquare wrapText="bothSides"/>
            <wp:docPr id="1970820805"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820805" name="Grafik 1970820805"/>
                    <pic:cNvPicPr/>
                  </pic:nvPicPr>
                  <pic:blipFill>
                    <a:blip r:embed="rId11">
                      <a:extLst>
                        <a:ext uri="{28A0092B-C50C-407E-A947-70E740481C1C}">
                          <a14:useLocalDpi xmlns:a14="http://schemas.microsoft.com/office/drawing/2010/main" val="0"/>
                        </a:ext>
                      </a:extLst>
                    </a:blip>
                    <a:stretch>
                      <a:fillRect/>
                    </a:stretch>
                  </pic:blipFill>
                  <pic:spPr>
                    <a:xfrm>
                      <a:off x="0" y="0"/>
                      <a:ext cx="7270750" cy="4897120"/>
                    </a:xfrm>
                    <a:prstGeom prst="rect">
                      <a:avLst/>
                    </a:prstGeom>
                  </pic:spPr>
                </pic:pic>
              </a:graphicData>
            </a:graphic>
            <wp14:sizeRelH relativeFrom="margin">
              <wp14:pctWidth>0</wp14:pctWidth>
            </wp14:sizeRelH>
            <wp14:sizeRelV relativeFrom="margin">
              <wp14:pctHeight>0</wp14:pctHeight>
            </wp14:sizeRelV>
          </wp:anchor>
        </w:drawing>
      </w:r>
      <w:r w:rsidRPr="0040309B">
        <w:rPr>
          <w:color w:val="000000"/>
          <w:sz w:val="22"/>
          <w:szCs w:val="22"/>
        </w:rPr>
        <w:t>Examples of control experiments, in which the respective primary antibody was omitted</w:t>
      </w:r>
      <w:r>
        <w:rPr>
          <w:color w:val="000000"/>
          <w:sz w:val="22"/>
          <w:szCs w:val="22"/>
        </w:rPr>
        <w:t>. Scale</w:t>
      </w:r>
      <w:r w:rsidRPr="0040309B">
        <w:rPr>
          <w:color w:val="000000"/>
          <w:sz w:val="22"/>
          <w:szCs w:val="22"/>
        </w:rPr>
        <w:t xml:space="preserve"> bar 10 µm</w:t>
      </w:r>
      <w:r>
        <w:rPr>
          <w:color w:val="000000"/>
          <w:sz w:val="22"/>
          <w:szCs w:val="22"/>
        </w:rPr>
        <w:t>.</w:t>
      </w:r>
    </w:p>
    <w:p w14:paraId="46EAD4F3" w14:textId="51E03EA7" w:rsidR="00841FE7" w:rsidRPr="0040309B" w:rsidRDefault="00A7385B" w:rsidP="00E84978">
      <w:pPr>
        <w:pStyle w:val="Listenabsatz"/>
        <w:spacing w:line="360" w:lineRule="auto"/>
        <w:ind w:left="786"/>
        <w:rPr>
          <w:b/>
          <w:color w:val="000000"/>
          <w:sz w:val="22"/>
          <w:szCs w:val="22"/>
        </w:rPr>
      </w:pPr>
      <w:r w:rsidRPr="0040309B">
        <w:rPr>
          <w:color w:val="000000"/>
          <w:sz w:val="22"/>
          <w:szCs w:val="22"/>
        </w:rPr>
        <w:t xml:space="preserve"> </w:t>
      </w:r>
    </w:p>
    <w:p w14:paraId="03071FAA" w14:textId="77777777" w:rsidR="00841FE7" w:rsidRPr="0040309B" w:rsidRDefault="00841FE7" w:rsidP="00841FE7">
      <w:pPr>
        <w:spacing w:line="360" w:lineRule="auto"/>
        <w:rPr>
          <w:b/>
          <w:color w:val="000000"/>
          <w:sz w:val="22"/>
          <w:szCs w:val="22"/>
        </w:rPr>
      </w:pPr>
    </w:p>
    <w:p w14:paraId="3F606C16" w14:textId="74E7FDF9" w:rsidR="00A7385B" w:rsidRPr="0040309B" w:rsidRDefault="00A7385B" w:rsidP="00841FE7">
      <w:pPr>
        <w:spacing w:line="360" w:lineRule="auto"/>
        <w:rPr>
          <w:b/>
          <w:color w:val="000000"/>
          <w:sz w:val="22"/>
          <w:szCs w:val="22"/>
        </w:rPr>
      </w:pPr>
      <w:r w:rsidRPr="0040309B">
        <w:rPr>
          <w:b/>
          <w:color w:val="000000"/>
          <w:sz w:val="22"/>
          <w:szCs w:val="22"/>
        </w:rPr>
        <w:br w:type="page"/>
      </w:r>
    </w:p>
    <w:p w14:paraId="4C4F7136" w14:textId="3D99DF6B" w:rsidR="00DD01E5" w:rsidRPr="0040309B" w:rsidRDefault="00F17799">
      <w:pPr>
        <w:spacing w:line="360" w:lineRule="auto"/>
        <w:jc w:val="both"/>
        <w:rPr>
          <w:b/>
          <w:color w:val="000000"/>
          <w:sz w:val="22"/>
          <w:szCs w:val="22"/>
        </w:rPr>
      </w:pPr>
      <w:r w:rsidRPr="0040309B">
        <w:rPr>
          <w:b/>
          <w:noProof/>
          <w:color w:val="000000"/>
          <w:sz w:val="22"/>
          <w:szCs w:val="22"/>
        </w:rPr>
        <w:lastRenderedPageBreak/>
        <w:drawing>
          <wp:anchor distT="0" distB="0" distL="114300" distR="114300" simplePos="0" relativeHeight="251664384" behindDoc="0" locked="0" layoutInCell="1" hidden="0" allowOverlap="1" wp14:anchorId="25A1697C" wp14:editId="3C587158">
            <wp:simplePos x="0" y="0"/>
            <wp:positionH relativeFrom="margin">
              <wp:posOffset>-873125</wp:posOffset>
            </wp:positionH>
            <wp:positionV relativeFrom="margin">
              <wp:posOffset>3309823</wp:posOffset>
            </wp:positionV>
            <wp:extent cx="7362825" cy="4269105"/>
            <wp:effectExtent l="0" t="0" r="3175" b="0"/>
            <wp:wrapSquare wrapText="bothSides" distT="0" distB="0" distL="114300" distR="114300"/>
            <wp:docPr id="199070086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
                    <a:srcRect t="6165"/>
                    <a:stretch>
                      <a:fillRect/>
                    </a:stretch>
                  </pic:blipFill>
                  <pic:spPr>
                    <a:xfrm>
                      <a:off x="0" y="0"/>
                      <a:ext cx="7362825" cy="4269105"/>
                    </a:xfrm>
                    <a:prstGeom prst="rect">
                      <a:avLst/>
                    </a:prstGeom>
                    <a:ln/>
                  </pic:spPr>
                </pic:pic>
              </a:graphicData>
            </a:graphic>
            <wp14:sizeRelV relativeFrom="margin">
              <wp14:pctHeight>0</wp14:pctHeight>
            </wp14:sizeRelV>
          </wp:anchor>
        </w:drawing>
      </w:r>
      <w:r w:rsidRPr="0040309B">
        <w:rPr>
          <w:b/>
          <w:color w:val="000000"/>
          <w:sz w:val="22"/>
          <w:szCs w:val="22"/>
        </w:rPr>
        <w:t xml:space="preserve">Supplementary Figure </w:t>
      </w:r>
      <w:r w:rsidR="00A7385B" w:rsidRPr="0040309B">
        <w:rPr>
          <w:b/>
          <w:color w:val="000000"/>
          <w:sz w:val="22"/>
          <w:szCs w:val="22"/>
        </w:rPr>
        <w:t>3</w:t>
      </w:r>
      <w:r w:rsidRPr="0040309B">
        <w:rPr>
          <w:b/>
          <w:color w:val="000000"/>
          <w:sz w:val="22"/>
          <w:szCs w:val="22"/>
        </w:rPr>
        <w:t>: Strategy for CRISPR/Cas9 deletion of TRPV2 and corresponding electropherograms of wildtype and deficient KGN cells. A</w:t>
      </w:r>
      <w:r w:rsidRPr="0040309B">
        <w:rPr>
          <w:color w:val="000000"/>
          <w:sz w:val="22"/>
          <w:szCs w:val="22"/>
        </w:rPr>
        <w:t>) Graphical illustration of the TRPV2 deletion site located within exon 12 of the coding region on chromosome 17 (upper panel), and the relevant sequencing section of an electropherogram of WT KGN cells with highlighted gRNA binding sites, position 2165 and 3221, and nucleotides to be deleted (underlined).</w:t>
      </w:r>
      <w:r w:rsidRPr="0040309B">
        <w:rPr>
          <w:b/>
          <w:color w:val="000000"/>
          <w:sz w:val="22"/>
          <w:szCs w:val="22"/>
        </w:rPr>
        <w:t xml:space="preserve"> Inset</w:t>
      </w:r>
      <w:r w:rsidRPr="0040309B">
        <w:rPr>
          <w:color w:val="000000"/>
          <w:sz w:val="22"/>
          <w:szCs w:val="22"/>
        </w:rPr>
        <w:t xml:space="preserve"> depicts gRNA sequence boxed in green and PAM sequence, three bps upstream of the target, boxed in red.</w:t>
      </w:r>
      <w:r w:rsidRPr="0040309B">
        <w:rPr>
          <w:b/>
          <w:color w:val="000000"/>
          <w:sz w:val="22"/>
          <w:szCs w:val="22"/>
        </w:rPr>
        <w:t xml:space="preserve"> B</w:t>
      </w:r>
      <w:r w:rsidRPr="0040309B">
        <w:rPr>
          <w:color w:val="000000"/>
          <w:sz w:val="22"/>
          <w:szCs w:val="22"/>
        </w:rPr>
        <w:t xml:space="preserve"> &amp; </w:t>
      </w:r>
      <w:r w:rsidRPr="0040309B">
        <w:rPr>
          <w:b/>
          <w:color w:val="000000"/>
          <w:sz w:val="22"/>
          <w:szCs w:val="22"/>
        </w:rPr>
        <w:t>C</w:t>
      </w:r>
      <w:r w:rsidRPr="0040309B">
        <w:rPr>
          <w:color w:val="000000"/>
          <w:sz w:val="22"/>
          <w:szCs w:val="22"/>
        </w:rPr>
        <w:t xml:space="preserve">) Edited sequence of TRPV2-deficient clones #4 and #13, respectively. PAM sequence and three nucleotides upstream were successfully deleted. </w:t>
      </w:r>
      <w:r w:rsidRPr="0040309B">
        <w:rPr>
          <w:b/>
          <w:color w:val="000000"/>
          <w:sz w:val="22"/>
          <w:szCs w:val="22"/>
        </w:rPr>
        <w:t>D</w:t>
      </w:r>
      <w:r w:rsidRPr="0040309B">
        <w:rPr>
          <w:color w:val="000000"/>
          <w:sz w:val="22"/>
          <w:szCs w:val="22"/>
        </w:rPr>
        <w:t>) Successful deletion was initially confirmed by means of RT-PCR resulting in a product reduced in size (</w:t>
      </w:r>
      <w:r w:rsidR="00CF3773" w:rsidRPr="0040309B">
        <w:rPr>
          <w:color w:val="000000"/>
          <w:sz w:val="22"/>
          <w:szCs w:val="22"/>
        </w:rPr>
        <w:t>~</w:t>
      </w:r>
      <w:r w:rsidRPr="0040309B">
        <w:rPr>
          <w:color w:val="000000"/>
          <w:sz w:val="22"/>
          <w:szCs w:val="22"/>
        </w:rPr>
        <w:t>290 bp band in WT, ~170 bp band in clones #4 and #13). Omission of the reverse transcriptase (-RT) during cDNA synthesis served as negative control. Cropped gel image shown</w:t>
      </w:r>
      <w:r w:rsidR="00954581" w:rsidRPr="0040309B">
        <w:rPr>
          <w:color w:val="000000"/>
          <w:sz w:val="22"/>
          <w:szCs w:val="22"/>
        </w:rPr>
        <w:t xml:space="preserve">, original gel images are provided in </w:t>
      </w:r>
      <w:r w:rsidR="00954581" w:rsidRPr="0040309B">
        <w:rPr>
          <w:b/>
          <w:bCs/>
          <w:color w:val="000000"/>
          <w:sz w:val="22"/>
          <w:szCs w:val="22"/>
        </w:rPr>
        <w:t>Supplementary Figure 8</w:t>
      </w:r>
      <w:r w:rsidRPr="0040309B">
        <w:rPr>
          <w:color w:val="000000"/>
          <w:sz w:val="22"/>
          <w:szCs w:val="22"/>
        </w:rPr>
        <w:t>.</w:t>
      </w:r>
    </w:p>
    <w:p w14:paraId="1EB704D4" w14:textId="77777777" w:rsidR="00DD01E5" w:rsidRPr="0040309B" w:rsidRDefault="00DD01E5">
      <w:pPr>
        <w:spacing w:line="360" w:lineRule="auto"/>
        <w:jc w:val="both"/>
        <w:rPr>
          <w:b/>
          <w:color w:val="000000"/>
          <w:sz w:val="22"/>
          <w:szCs w:val="22"/>
        </w:rPr>
      </w:pPr>
    </w:p>
    <w:p w14:paraId="6E40F52E" w14:textId="77777777" w:rsidR="00DD01E5" w:rsidRPr="0040309B" w:rsidRDefault="00DD01E5">
      <w:pPr>
        <w:spacing w:line="360" w:lineRule="auto"/>
        <w:jc w:val="both"/>
        <w:rPr>
          <w:b/>
          <w:color w:val="000000"/>
          <w:sz w:val="22"/>
          <w:szCs w:val="22"/>
        </w:rPr>
      </w:pPr>
    </w:p>
    <w:p w14:paraId="4D0AE071" w14:textId="77777777" w:rsidR="00DD01E5" w:rsidRPr="0040309B" w:rsidRDefault="00DD01E5">
      <w:pPr>
        <w:spacing w:line="360" w:lineRule="auto"/>
        <w:jc w:val="both"/>
        <w:rPr>
          <w:color w:val="000000"/>
          <w:sz w:val="22"/>
          <w:szCs w:val="22"/>
        </w:rPr>
      </w:pPr>
    </w:p>
    <w:p w14:paraId="35513D45" w14:textId="77777777" w:rsidR="00DD01E5" w:rsidRPr="0040309B" w:rsidRDefault="00DD01E5">
      <w:pPr>
        <w:spacing w:line="360" w:lineRule="auto"/>
        <w:jc w:val="both"/>
        <w:rPr>
          <w:color w:val="000000"/>
          <w:sz w:val="22"/>
          <w:szCs w:val="22"/>
        </w:rPr>
      </w:pPr>
    </w:p>
    <w:p w14:paraId="25A37BB8" w14:textId="77777777" w:rsidR="006156A8" w:rsidRPr="0040309B" w:rsidRDefault="006156A8">
      <w:pPr>
        <w:spacing w:line="360" w:lineRule="auto"/>
        <w:jc w:val="both"/>
        <w:rPr>
          <w:b/>
          <w:color w:val="000000"/>
          <w:sz w:val="22"/>
          <w:szCs w:val="22"/>
        </w:rPr>
      </w:pPr>
    </w:p>
    <w:p w14:paraId="78996D54" w14:textId="77777777" w:rsidR="006156A8" w:rsidRPr="0040309B" w:rsidRDefault="006156A8">
      <w:pPr>
        <w:spacing w:line="360" w:lineRule="auto"/>
        <w:jc w:val="both"/>
        <w:rPr>
          <w:b/>
          <w:color w:val="000000"/>
          <w:sz w:val="22"/>
          <w:szCs w:val="22"/>
        </w:rPr>
      </w:pPr>
    </w:p>
    <w:p w14:paraId="331122D3" w14:textId="77777777" w:rsidR="00532236" w:rsidRPr="0040309B" w:rsidRDefault="00532236" w:rsidP="00532236">
      <w:pPr>
        <w:spacing w:line="360" w:lineRule="auto"/>
        <w:rPr>
          <w:b/>
          <w:color w:val="000000"/>
          <w:sz w:val="22"/>
          <w:szCs w:val="22"/>
        </w:rPr>
      </w:pPr>
    </w:p>
    <w:p w14:paraId="30EFBA16" w14:textId="77777777" w:rsidR="00532236" w:rsidRPr="0040309B" w:rsidRDefault="00532236" w:rsidP="00532236">
      <w:pPr>
        <w:spacing w:line="360" w:lineRule="auto"/>
        <w:rPr>
          <w:b/>
          <w:color w:val="000000"/>
          <w:sz w:val="22"/>
          <w:szCs w:val="22"/>
        </w:rPr>
      </w:pPr>
    </w:p>
    <w:p w14:paraId="50449B56" w14:textId="46BD4CE7" w:rsidR="00532236" w:rsidRDefault="00532236" w:rsidP="00532236">
      <w:pPr>
        <w:spacing w:line="360" w:lineRule="auto"/>
        <w:rPr>
          <w:b/>
          <w:color w:val="000000" w:themeColor="text1"/>
          <w:sz w:val="22"/>
          <w:szCs w:val="22"/>
        </w:rPr>
      </w:pPr>
      <w:r w:rsidRPr="0040309B">
        <w:rPr>
          <w:b/>
          <w:color w:val="000000" w:themeColor="text1"/>
          <w:sz w:val="22"/>
          <w:szCs w:val="22"/>
        </w:rPr>
        <w:t>Supplementary Figure 4: CBD-induced elevations of intracellu</w:t>
      </w:r>
      <w:r w:rsidR="000F5FF1" w:rsidRPr="0040309B">
        <w:rPr>
          <w:b/>
          <w:color w:val="000000" w:themeColor="text1"/>
          <w:sz w:val="22"/>
          <w:szCs w:val="22"/>
        </w:rPr>
        <w:t>l</w:t>
      </w:r>
      <w:r w:rsidRPr="0040309B">
        <w:rPr>
          <w:b/>
          <w:color w:val="000000" w:themeColor="text1"/>
          <w:sz w:val="22"/>
          <w:szCs w:val="22"/>
        </w:rPr>
        <w:t>ar Ca</w:t>
      </w:r>
      <w:r w:rsidRPr="0040309B">
        <w:rPr>
          <w:b/>
          <w:color w:val="000000" w:themeColor="text1"/>
          <w:sz w:val="22"/>
          <w:szCs w:val="22"/>
          <w:vertAlign w:val="superscript"/>
        </w:rPr>
        <w:t>2+</w:t>
      </w:r>
      <w:r w:rsidRPr="0040309B">
        <w:rPr>
          <w:b/>
          <w:color w:val="000000" w:themeColor="text1"/>
          <w:sz w:val="22"/>
          <w:szCs w:val="22"/>
        </w:rPr>
        <w:t xml:space="preserve"> in KGN cells are </w:t>
      </w:r>
      <w:r w:rsidR="00E84978">
        <w:rPr>
          <w:b/>
          <w:color w:val="000000" w:themeColor="text1"/>
          <w:sz w:val="22"/>
          <w:szCs w:val="22"/>
        </w:rPr>
        <w:t>blocked</w:t>
      </w:r>
      <w:r w:rsidRPr="0040309B">
        <w:rPr>
          <w:b/>
          <w:color w:val="000000" w:themeColor="text1"/>
          <w:sz w:val="22"/>
          <w:szCs w:val="22"/>
        </w:rPr>
        <w:t xml:space="preserve"> by </w:t>
      </w:r>
      <w:r w:rsidR="007B37A2">
        <w:rPr>
          <w:b/>
          <w:color w:val="000000" w:themeColor="text1"/>
          <w:sz w:val="22"/>
          <w:szCs w:val="22"/>
        </w:rPr>
        <w:t xml:space="preserve">the TRPV2 antagonist </w:t>
      </w:r>
      <w:r w:rsidRPr="0040309B">
        <w:rPr>
          <w:b/>
          <w:color w:val="000000" w:themeColor="text1"/>
          <w:sz w:val="22"/>
          <w:szCs w:val="22"/>
        </w:rPr>
        <w:t>SET2</w:t>
      </w:r>
      <w:r w:rsidR="007B37A2">
        <w:rPr>
          <w:b/>
          <w:color w:val="000000" w:themeColor="text1"/>
          <w:sz w:val="22"/>
          <w:szCs w:val="22"/>
        </w:rPr>
        <w:t>.</w:t>
      </w:r>
    </w:p>
    <w:p w14:paraId="5E96F4DD" w14:textId="3929E8EB" w:rsidR="007B37A2" w:rsidRPr="007B37A2" w:rsidRDefault="007B37A2" w:rsidP="00E84978">
      <w:pPr>
        <w:spacing w:line="360" w:lineRule="auto"/>
        <w:jc w:val="both"/>
        <w:rPr>
          <w:sz w:val="23"/>
          <w:szCs w:val="23"/>
        </w:rPr>
      </w:pPr>
      <w:r>
        <w:rPr>
          <w:b/>
          <w:noProof/>
          <w:color w:val="EE0000"/>
          <w:sz w:val="22"/>
          <w:szCs w:val="22"/>
        </w:rPr>
        <w:drawing>
          <wp:anchor distT="0" distB="0" distL="114300" distR="114300" simplePos="0" relativeHeight="251673600" behindDoc="0" locked="0" layoutInCell="1" allowOverlap="1" wp14:anchorId="7CE8052D" wp14:editId="4F141437">
            <wp:simplePos x="0" y="0"/>
            <wp:positionH relativeFrom="margin">
              <wp:posOffset>-424815</wp:posOffset>
            </wp:positionH>
            <wp:positionV relativeFrom="margin">
              <wp:posOffset>2157959</wp:posOffset>
            </wp:positionV>
            <wp:extent cx="4674235" cy="4178300"/>
            <wp:effectExtent l="0" t="0" r="0" b="0"/>
            <wp:wrapSquare wrapText="bothSides"/>
            <wp:docPr id="191826023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260234" name="Grafik 191826023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74235" cy="4178300"/>
                    </a:xfrm>
                    <a:prstGeom prst="rect">
                      <a:avLst/>
                    </a:prstGeom>
                  </pic:spPr>
                </pic:pic>
              </a:graphicData>
            </a:graphic>
            <wp14:sizeRelH relativeFrom="margin">
              <wp14:pctWidth>0</wp14:pctWidth>
            </wp14:sizeRelH>
            <wp14:sizeRelV relativeFrom="margin">
              <wp14:pctHeight>0</wp14:pctHeight>
            </wp14:sizeRelV>
          </wp:anchor>
        </w:drawing>
      </w:r>
      <w:r>
        <w:rPr>
          <w:sz w:val="23"/>
          <w:szCs w:val="23"/>
        </w:rPr>
        <w:t>Example of a Calcium Imaging experiment, in which we tested specificity of the observed CBD-induced Ca</w:t>
      </w:r>
      <w:r w:rsidR="00277FAB" w:rsidRPr="00277FAB">
        <w:rPr>
          <w:sz w:val="23"/>
          <w:szCs w:val="23"/>
          <w:vertAlign w:val="superscript"/>
        </w:rPr>
        <w:t>2+</w:t>
      </w:r>
      <w:r w:rsidR="00277FAB">
        <w:rPr>
          <w:sz w:val="16"/>
          <w:szCs w:val="16"/>
          <w:vertAlign w:val="superscript"/>
        </w:rPr>
        <w:t xml:space="preserve"> </w:t>
      </w:r>
      <w:r>
        <w:rPr>
          <w:sz w:val="23"/>
          <w:szCs w:val="23"/>
        </w:rPr>
        <w:t xml:space="preserve">transients by </w:t>
      </w:r>
      <w:r w:rsidR="00DC4C76">
        <w:rPr>
          <w:sz w:val="23"/>
          <w:szCs w:val="23"/>
        </w:rPr>
        <w:t xml:space="preserve">applying </w:t>
      </w:r>
      <w:r>
        <w:rPr>
          <w:sz w:val="23"/>
          <w:szCs w:val="23"/>
        </w:rPr>
        <w:t xml:space="preserve">the antagonist SET2. In presence of CNR1/2 blockers (AM251 and AM630), 30 </w:t>
      </w:r>
      <w:proofErr w:type="spellStart"/>
      <w:r>
        <w:rPr>
          <w:sz w:val="23"/>
          <w:szCs w:val="23"/>
        </w:rPr>
        <w:t>μM</w:t>
      </w:r>
      <w:proofErr w:type="spellEnd"/>
      <w:r>
        <w:rPr>
          <w:sz w:val="23"/>
          <w:szCs w:val="23"/>
        </w:rPr>
        <w:t xml:space="preserve"> CBD elicited </w:t>
      </w:r>
      <w:r w:rsidR="00277FAB">
        <w:rPr>
          <w:sz w:val="23"/>
          <w:szCs w:val="23"/>
        </w:rPr>
        <w:t>Ca</w:t>
      </w:r>
      <w:r w:rsidR="00277FAB" w:rsidRPr="00277FAB">
        <w:rPr>
          <w:sz w:val="23"/>
          <w:szCs w:val="23"/>
          <w:vertAlign w:val="superscript"/>
        </w:rPr>
        <w:t>2+</w:t>
      </w:r>
      <w:r w:rsidR="00277FAB">
        <w:rPr>
          <w:sz w:val="16"/>
          <w:szCs w:val="16"/>
          <w:vertAlign w:val="superscript"/>
        </w:rPr>
        <w:t xml:space="preserve"> </w:t>
      </w:r>
      <w:r>
        <w:rPr>
          <w:sz w:val="23"/>
          <w:szCs w:val="23"/>
        </w:rPr>
        <w:t xml:space="preserve">transients in all imaged cells (42/42), whereas there was no response to 10 </w:t>
      </w:r>
      <w:proofErr w:type="spellStart"/>
      <w:r>
        <w:rPr>
          <w:sz w:val="23"/>
          <w:szCs w:val="23"/>
        </w:rPr>
        <w:t>μM</w:t>
      </w:r>
      <w:proofErr w:type="spellEnd"/>
      <w:r>
        <w:rPr>
          <w:sz w:val="23"/>
          <w:szCs w:val="23"/>
        </w:rPr>
        <w:t xml:space="preserve"> SET2 (0/4</w:t>
      </w:r>
      <w:r w:rsidR="00277FAB">
        <w:rPr>
          <w:sz w:val="23"/>
          <w:szCs w:val="23"/>
        </w:rPr>
        <w:t>2</w:t>
      </w:r>
      <w:r>
        <w:rPr>
          <w:sz w:val="23"/>
          <w:szCs w:val="23"/>
        </w:rPr>
        <w:t xml:space="preserve">).  CBD did not elicit any </w:t>
      </w:r>
      <w:r w:rsidR="00277FAB">
        <w:rPr>
          <w:sz w:val="23"/>
          <w:szCs w:val="23"/>
        </w:rPr>
        <w:t>Ca</w:t>
      </w:r>
      <w:r w:rsidR="00277FAB" w:rsidRPr="00277FAB">
        <w:rPr>
          <w:sz w:val="23"/>
          <w:szCs w:val="23"/>
          <w:vertAlign w:val="superscript"/>
        </w:rPr>
        <w:t>2+</w:t>
      </w:r>
      <w:r w:rsidR="00277FAB">
        <w:rPr>
          <w:sz w:val="16"/>
          <w:szCs w:val="16"/>
          <w:vertAlign w:val="superscript"/>
        </w:rPr>
        <w:t xml:space="preserve"> </w:t>
      </w:r>
      <w:r>
        <w:rPr>
          <w:sz w:val="23"/>
          <w:szCs w:val="23"/>
        </w:rPr>
        <w:t xml:space="preserve">transients during co-application with SET2. Graph shows averaged original traces (black solid line) and SEM (grey dashed line) of 11 cells. In the </w:t>
      </w:r>
      <w:r w:rsidR="00933C83">
        <w:rPr>
          <w:sz w:val="23"/>
          <w:szCs w:val="23"/>
        </w:rPr>
        <w:t>t</w:t>
      </w:r>
      <w:r>
        <w:rPr>
          <w:sz w:val="23"/>
          <w:szCs w:val="23"/>
        </w:rPr>
        <w:t>able responder rate</w:t>
      </w:r>
      <w:r w:rsidR="00933C83">
        <w:rPr>
          <w:sz w:val="23"/>
          <w:szCs w:val="23"/>
        </w:rPr>
        <w:t>s</w:t>
      </w:r>
      <w:r>
        <w:rPr>
          <w:sz w:val="23"/>
          <w:szCs w:val="23"/>
        </w:rPr>
        <w:t xml:space="preserve"> and</w:t>
      </w:r>
      <w:r w:rsidR="00277FAB">
        <w:rPr>
          <w:sz w:val="23"/>
          <w:szCs w:val="23"/>
        </w:rPr>
        <w:t xml:space="preserve"> </w:t>
      </w:r>
      <w:r>
        <w:rPr>
          <w:sz w:val="23"/>
          <w:szCs w:val="23"/>
        </w:rPr>
        <w:t>cell number</w:t>
      </w:r>
      <w:r w:rsidR="00933C83">
        <w:rPr>
          <w:sz w:val="23"/>
          <w:szCs w:val="23"/>
        </w:rPr>
        <w:t>s</w:t>
      </w:r>
      <w:r>
        <w:rPr>
          <w:sz w:val="23"/>
          <w:szCs w:val="23"/>
        </w:rPr>
        <w:t xml:space="preserve"> are given. </w:t>
      </w:r>
    </w:p>
    <w:p w14:paraId="61D9BDB9" w14:textId="77777777" w:rsidR="00277FAB" w:rsidRDefault="00277FAB" w:rsidP="00E84978">
      <w:pPr>
        <w:spacing w:line="360" w:lineRule="auto"/>
        <w:jc w:val="both"/>
        <w:rPr>
          <w:bCs/>
          <w:color w:val="000000" w:themeColor="text1"/>
          <w:sz w:val="22"/>
          <w:szCs w:val="22"/>
        </w:rPr>
      </w:pPr>
    </w:p>
    <w:p w14:paraId="6B4DA848" w14:textId="77777777" w:rsidR="000243AC" w:rsidRDefault="000243AC" w:rsidP="00E84978">
      <w:pPr>
        <w:spacing w:line="360" w:lineRule="auto"/>
        <w:jc w:val="both"/>
        <w:rPr>
          <w:bCs/>
          <w:color w:val="000000" w:themeColor="text1"/>
          <w:sz w:val="22"/>
          <w:szCs w:val="22"/>
        </w:rPr>
      </w:pPr>
    </w:p>
    <w:p w14:paraId="2853AF8E" w14:textId="11F8E96D" w:rsidR="00532236" w:rsidRPr="0040309B" w:rsidRDefault="007B37A2" w:rsidP="00E84978">
      <w:pPr>
        <w:spacing w:line="360" w:lineRule="auto"/>
        <w:jc w:val="both"/>
        <w:rPr>
          <w:bCs/>
          <w:color w:val="000000" w:themeColor="text1"/>
          <w:sz w:val="22"/>
          <w:szCs w:val="22"/>
        </w:rPr>
      </w:pPr>
      <w:r>
        <w:rPr>
          <w:bCs/>
          <w:color w:val="000000" w:themeColor="text1"/>
          <w:sz w:val="22"/>
          <w:szCs w:val="22"/>
        </w:rPr>
        <w:t xml:space="preserve">Further experiments were performed with 10 µM CBD yielding similar results: All 30 cells </w:t>
      </w:r>
      <w:r w:rsidR="00E84978">
        <w:rPr>
          <w:bCs/>
          <w:color w:val="000000" w:themeColor="text1"/>
          <w:sz w:val="22"/>
          <w:szCs w:val="22"/>
        </w:rPr>
        <w:t xml:space="preserve">examined in this </w:t>
      </w:r>
      <w:r>
        <w:rPr>
          <w:bCs/>
          <w:color w:val="000000" w:themeColor="text1"/>
          <w:sz w:val="22"/>
          <w:szCs w:val="22"/>
        </w:rPr>
        <w:t xml:space="preserve">experiment responded to CBD with </w:t>
      </w:r>
      <w:r w:rsidR="00277FAB">
        <w:rPr>
          <w:sz w:val="23"/>
          <w:szCs w:val="23"/>
        </w:rPr>
        <w:t>Ca</w:t>
      </w:r>
      <w:r w:rsidR="00277FAB" w:rsidRPr="00277FAB">
        <w:rPr>
          <w:sz w:val="23"/>
          <w:szCs w:val="23"/>
          <w:vertAlign w:val="superscript"/>
        </w:rPr>
        <w:t>2+</w:t>
      </w:r>
      <w:r w:rsidR="00277FAB">
        <w:rPr>
          <w:sz w:val="16"/>
          <w:szCs w:val="16"/>
          <w:vertAlign w:val="superscript"/>
        </w:rPr>
        <w:t xml:space="preserve"> </w:t>
      </w:r>
      <w:r>
        <w:rPr>
          <w:sz w:val="23"/>
          <w:szCs w:val="23"/>
        </w:rPr>
        <w:t>transients and SET2 effectively blocked th</w:t>
      </w:r>
      <w:r w:rsidR="00277FAB">
        <w:rPr>
          <w:sz w:val="23"/>
          <w:szCs w:val="23"/>
        </w:rPr>
        <w:t>e</w:t>
      </w:r>
      <w:r>
        <w:rPr>
          <w:sz w:val="23"/>
          <w:szCs w:val="23"/>
        </w:rPr>
        <w:t xml:space="preserve"> increase. </w:t>
      </w:r>
      <w:r>
        <w:rPr>
          <w:bCs/>
          <w:color w:val="000000" w:themeColor="text1"/>
          <w:sz w:val="22"/>
          <w:szCs w:val="22"/>
        </w:rPr>
        <w:t xml:space="preserve">  </w:t>
      </w:r>
    </w:p>
    <w:p w14:paraId="7CC6318B" w14:textId="0FEDEC02" w:rsidR="00532236" w:rsidRPr="0040309B" w:rsidRDefault="00532236" w:rsidP="00532236">
      <w:pPr>
        <w:spacing w:line="360" w:lineRule="auto"/>
        <w:rPr>
          <w:b/>
          <w:color w:val="EE0000"/>
          <w:sz w:val="22"/>
          <w:szCs w:val="22"/>
        </w:rPr>
      </w:pPr>
      <w:r w:rsidRPr="0040309B">
        <w:rPr>
          <w:b/>
          <w:color w:val="EE0000"/>
          <w:sz w:val="22"/>
          <w:szCs w:val="22"/>
        </w:rPr>
        <w:t xml:space="preserve">   </w:t>
      </w:r>
    </w:p>
    <w:p w14:paraId="5154C892" w14:textId="3775E777" w:rsidR="00532236" w:rsidRPr="0040309B" w:rsidRDefault="00532236">
      <w:pPr>
        <w:rPr>
          <w:b/>
          <w:color w:val="EE0000"/>
          <w:sz w:val="22"/>
          <w:szCs w:val="22"/>
        </w:rPr>
      </w:pPr>
      <w:r w:rsidRPr="0040309B">
        <w:rPr>
          <w:b/>
          <w:color w:val="EE0000"/>
          <w:sz w:val="22"/>
          <w:szCs w:val="22"/>
        </w:rPr>
        <w:br w:type="page"/>
      </w:r>
    </w:p>
    <w:p w14:paraId="3EAA7E26" w14:textId="5D314084" w:rsidR="00DD01E5" w:rsidRPr="0040309B" w:rsidRDefault="00000000">
      <w:pPr>
        <w:spacing w:line="360" w:lineRule="auto"/>
        <w:jc w:val="both"/>
        <w:rPr>
          <w:color w:val="000000"/>
          <w:sz w:val="22"/>
          <w:szCs w:val="22"/>
        </w:rPr>
      </w:pPr>
      <w:r w:rsidRPr="0040309B">
        <w:rPr>
          <w:b/>
          <w:color w:val="000000"/>
          <w:sz w:val="22"/>
          <w:szCs w:val="22"/>
        </w:rPr>
        <w:lastRenderedPageBreak/>
        <w:t xml:space="preserve">Supplementary Figure </w:t>
      </w:r>
      <w:r w:rsidR="00532236" w:rsidRPr="0040309B">
        <w:rPr>
          <w:b/>
          <w:color w:val="000000"/>
          <w:sz w:val="22"/>
          <w:szCs w:val="22"/>
        </w:rPr>
        <w:t>5</w:t>
      </w:r>
      <w:r w:rsidRPr="0040309B">
        <w:rPr>
          <w:b/>
          <w:color w:val="000000"/>
          <w:sz w:val="22"/>
          <w:szCs w:val="22"/>
        </w:rPr>
        <w:t>: Loss of TRPV2 results in increased cell size, proliferation rate and motility in KGN cells - Part 2. A) </w:t>
      </w:r>
      <w:r w:rsidRPr="0040309B">
        <w:rPr>
          <w:color w:val="000000"/>
          <w:sz w:val="22"/>
          <w:szCs w:val="22"/>
        </w:rPr>
        <w:t xml:space="preserve">2D cell size of normal, TRPV2-expressing KGN cells (WT) and TRPV2-deficient clones #4 and #13 were determined based on micrographs captured during culture time. Of each cell type, 40 cells were randomly selected and their area was measured, revealing a significant increase in </w:t>
      </w:r>
      <w:r w:rsidR="00EE3904">
        <w:rPr>
          <w:color w:val="000000"/>
          <w:sz w:val="22"/>
          <w:szCs w:val="22"/>
        </w:rPr>
        <w:t xml:space="preserve">2D cell size of </w:t>
      </w:r>
      <w:r w:rsidRPr="0040309B">
        <w:rPr>
          <w:color w:val="000000"/>
          <w:sz w:val="22"/>
          <w:szCs w:val="22"/>
        </w:rPr>
        <w:t xml:space="preserve">TRPV2-deficient KGN cells. </w:t>
      </w:r>
      <w:r w:rsidRPr="0040309B">
        <w:rPr>
          <w:b/>
          <w:color w:val="000000"/>
          <w:sz w:val="22"/>
          <w:szCs w:val="22"/>
        </w:rPr>
        <w:t>a</w:t>
      </w:r>
      <w:r w:rsidRPr="0040309B">
        <w:rPr>
          <w:color w:val="000000"/>
          <w:sz w:val="22"/>
          <w:szCs w:val="22"/>
        </w:rPr>
        <w:t>-</w:t>
      </w:r>
      <w:r w:rsidRPr="0040309B">
        <w:rPr>
          <w:b/>
          <w:color w:val="000000"/>
          <w:sz w:val="22"/>
          <w:szCs w:val="22"/>
        </w:rPr>
        <w:t>c</w:t>
      </w:r>
      <w:r w:rsidRPr="0040309B">
        <w:rPr>
          <w:color w:val="000000"/>
          <w:sz w:val="22"/>
          <w:szCs w:val="22"/>
        </w:rPr>
        <w:t>) Representative micrographs of each cell type highlighting the increase in 2D cell size upon depletion of TRPV2. Scale bar 100 µM.</w:t>
      </w:r>
      <w:r w:rsidRPr="0040309B">
        <w:rPr>
          <w:b/>
          <w:color w:val="000000"/>
          <w:sz w:val="22"/>
          <w:szCs w:val="22"/>
        </w:rPr>
        <w:t xml:space="preserve"> B) </w:t>
      </w:r>
      <w:r w:rsidRPr="0040309B">
        <w:rPr>
          <w:color w:val="000000"/>
          <w:sz w:val="22"/>
          <w:szCs w:val="22"/>
        </w:rPr>
        <w:t xml:space="preserve">Proliferation rate was additionally determined by cell counting after 24 h and revealed significant changes upon depletion of TRPV2. Data are expressed as % of the initially seeded cell number (n = 18 for each cell type). </w:t>
      </w:r>
      <w:r w:rsidRPr="0040309B">
        <w:rPr>
          <w:b/>
          <w:color w:val="000000"/>
          <w:sz w:val="22"/>
          <w:szCs w:val="22"/>
        </w:rPr>
        <w:t>C</w:t>
      </w:r>
      <w:r w:rsidRPr="0040309B">
        <w:rPr>
          <w:color w:val="000000"/>
          <w:sz w:val="22"/>
          <w:szCs w:val="22"/>
        </w:rPr>
        <w:t>) </w:t>
      </w:r>
      <w:proofErr w:type="spellStart"/>
      <w:r w:rsidRPr="0040309B">
        <w:rPr>
          <w:color w:val="000000"/>
          <w:sz w:val="22"/>
          <w:szCs w:val="22"/>
        </w:rPr>
        <w:t>Macropinocytosis</w:t>
      </w:r>
      <w:proofErr w:type="spellEnd"/>
      <w:r w:rsidRPr="0040309B">
        <w:rPr>
          <w:color w:val="000000"/>
          <w:sz w:val="22"/>
          <w:szCs w:val="22"/>
        </w:rPr>
        <w:t xml:space="preserve"> rate of 70 </w:t>
      </w:r>
      <w:proofErr w:type="spellStart"/>
      <w:r w:rsidRPr="0040309B">
        <w:rPr>
          <w:color w:val="000000"/>
          <w:sz w:val="22"/>
          <w:szCs w:val="22"/>
        </w:rPr>
        <w:t>kDa</w:t>
      </w:r>
      <w:proofErr w:type="spellEnd"/>
      <w:r w:rsidRPr="0040309B">
        <w:rPr>
          <w:color w:val="000000"/>
          <w:sz w:val="22"/>
          <w:szCs w:val="22"/>
        </w:rPr>
        <w:t xml:space="preserve"> FITC-dextran under 2D conditions. The TRPV2-deficient clone #13 engulfed significantly more than the other two cell types (n = 8, each). </w:t>
      </w:r>
      <w:r w:rsidRPr="0040309B">
        <w:rPr>
          <w:b/>
          <w:color w:val="000000"/>
          <w:sz w:val="22"/>
          <w:szCs w:val="22"/>
        </w:rPr>
        <w:t>D</w:t>
      </w:r>
      <w:r w:rsidRPr="0040309B">
        <w:rPr>
          <w:color w:val="000000"/>
          <w:sz w:val="22"/>
          <w:szCs w:val="22"/>
        </w:rPr>
        <w:t>) Representative trajectory plots of 10 WT cells (</w:t>
      </w:r>
      <w:r w:rsidRPr="0040309B">
        <w:rPr>
          <w:b/>
          <w:color w:val="000000"/>
          <w:sz w:val="22"/>
          <w:szCs w:val="22"/>
        </w:rPr>
        <w:t>d</w:t>
      </w:r>
      <w:r w:rsidRPr="0040309B">
        <w:rPr>
          <w:color w:val="000000"/>
          <w:sz w:val="22"/>
          <w:szCs w:val="22"/>
        </w:rPr>
        <w:t xml:space="preserve">) and 10 TRPV2-deficient </w:t>
      </w:r>
      <w:r w:rsidR="00EE3904">
        <w:rPr>
          <w:color w:val="000000"/>
          <w:sz w:val="22"/>
          <w:szCs w:val="22"/>
        </w:rPr>
        <w:t xml:space="preserve">cells of </w:t>
      </w:r>
      <w:r w:rsidRPr="0040309B">
        <w:rPr>
          <w:color w:val="000000"/>
          <w:sz w:val="22"/>
          <w:szCs w:val="22"/>
        </w:rPr>
        <w:t>clones #4 (</w:t>
      </w:r>
      <w:r w:rsidRPr="0040309B">
        <w:rPr>
          <w:b/>
          <w:color w:val="000000"/>
          <w:sz w:val="22"/>
          <w:szCs w:val="22"/>
        </w:rPr>
        <w:t>e</w:t>
      </w:r>
      <w:r w:rsidRPr="0040309B">
        <w:rPr>
          <w:color w:val="000000"/>
          <w:sz w:val="22"/>
          <w:szCs w:val="22"/>
        </w:rPr>
        <w:t>) and #13 (</w:t>
      </w:r>
      <w:r w:rsidRPr="0040309B">
        <w:rPr>
          <w:b/>
          <w:color w:val="000000"/>
          <w:sz w:val="22"/>
          <w:szCs w:val="22"/>
        </w:rPr>
        <w:t>f</w:t>
      </w:r>
      <w:r w:rsidRPr="0040309B">
        <w:rPr>
          <w:color w:val="000000"/>
          <w:sz w:val="22"/>
          <w:szCs w:val="22"/>
        </w:rPr>
        <w:t>), respectively, used for identification of cumulative velocity of single cells.</w:t>
      </w:r>
    </w:p>
    <w:p w14:paraId="2DB65F35" w14:textId="77777777" w:rsidR="00DD01E5" w:rsidRPr="0040309B" w:rsidRDefault="00F17799">
      <w:pPr>
        <w:spacing w:line="360" w:lineRule="auto"/>
        <w:jc w:val="both"/>
        <w:rPr>
          <w:color w:val="000000"/>
          <w:sz w:val="22"/>
          <w:szCs w:val="22"/>
        </w:rPr>
      </w:pPr>
      <w:r w:rsidRPr="0040309B">
        <w:rPr>
          <w:noProof/>
          <w:color w:val="000000"/>
          <w:sz w:val="22"/>
          <w:szCs w:val="22"/>
        </w:rPr>
        <w:drawing>
          <wp:anchor distT="0" distB="0" distL="114300" distR="114300" simplePos="0" relativeHeight="251665408" behindDoc="0" locked="0" layoutInCell="1" hidden="0" allowOverlap="1" wp14:anchorId="280118C2" wp14:editId="4D1F9182">
            <wp:simplePos x="0" y="0"/>
            <wp:positionH relativeFrom="margin">
              <wp:posOffset>-671249</wp:posOffset>
            </wp:positionH>
            <wp:positionV relativeFrom="margin">
              <wp:posOffset>3293664</wp:posOffset>
            </wp:positionV>
            <wp:extent cx="6773545" cy="3920490"/>
            <wp:effectExtent l="0" t="0" r="0" b="3810"/>
            <wp:wrapSquare wrapText="bothSides" distT="0" distB="0" distL="114300" distR="114300"/>
            <wp:docPr id="199070087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
                    <a:srcRect/>
                    <a:stretch>
                      <a:fillRect/>
                    </a:stretch>
                  </pic:blipFill>
                  <pic:spPr>
                    <a:xfrm>
                      <a:off x="0" y="0"/>
                      <a:ext cx="6773545" cy="3920490"/>
                    </a:xfrm>
                    <a:prstGeom prst="rect">
                      <a:avLst/>
                    </a:prstGeom>
                    <a:ln/>
                  </pic:spPr>
                </pic:pic>
              </a:graphicData>
            </a:graphic>
          </wp:anchor>
        </w:drawing>
      </w:r>
    </w:p>
    <w:p w14:paraId="486F4134" w14:textId="77777777" w:rsidR="00DD01E5" w:rsidRPr="0040309B" w:rsidRDefault="00DD01E5">
      <w:pPr>
        <w:spacing w:line="360" w:lineRule="auto"/>
        <w:jc w:val="both"/>
        <w:rPr>
          <w:color w:val="000000"/>
          <w:sz w:val="22"/>
          <w:szCs w:val="22"/>
        </w:rPr>
      </w:pPr>
    </w:p>
    <w:p w14:paraId="6F2556A2" w14:textId="77777777" w:rsidR="00F17799" w:rsidRPr="0040309B" w:rsidRDefault="00F17799">
      <w:pPr>
        <w:spacing w:line="360" w:lineRule="auto"/>
        <w:jc w:val="both"/>
        <w:rPr>
          <w:color w:val="000000"/>
          <w:sz w:val="22"/>
          <w:szCs w:val="22"/>
        </w:rPr>
      </w:pPr>
    </w:p>
    <w:p w14:paraId="06797087" w14:textId="77777777" w:rsidR="00F17799" w:rsidRPr="0040309B" w:rsidRDefault="00F17799">
      <w:pPr>
        <w:spacing w:line="360" w:lineRule="auto"/>
        <w:jc w:val="both"/>
        <w:rPr>
          <w:color w:val="000000"/>
          <w:sz w:val="22"/>
          <w:szCs w:val="22"/>
        </w:rPr>
      </w:pPr>
    </w:p>
    <w:p w14:paraId="7BDE9F44" w14:textId="77777777" w:rsidR="00F17799" w:rsidRPr="0040309B" w:rsidRDefault="00F17799">
      <w:pPr>
        <w:spacing w:line="360" w:lineRule="auto"/>
        <w:jc w:val="both"/>
        <w:rPr>
          <w:color w:val="000000"/>
          <w:sz w:val="22"/>
          <w:szCs w:val="22"/>
        </w:rPr>
      </w:pPr>
    </w:p>
    <w:p w14:paraId="2690E4B2" w14:textId="77777777" w:rsidR="00DD01E5" w:rsidRPr="0040309B" w:rsidRDefault="00DD01E5">
      <w:pPr>
        <w:spacing w:line="360" w:lineRule="auto"/>
        <w:jc w:val="both"/>
        <w:rPr>
          <w:color w:val="000000"/>
          <w:sz w:val="22"/>
          <w:szCs w:val="22"/>
        </w:rPr>
      </w:pPr>
    </w:p>
    <w:p w14:paraId="1FA25735" w14:textId="77777777" w:rsidR="00F17799" w:rsidRPr="0040309B" w:rsidRDefault="00F17799">
      <w:pPr>
        <w:spacing w:line="360" w:lineRule="auto"/>
        <w:jc w:val="both"/>
        <w:rPr>
          <w:color w:val="000000"/>
          <w:sz w:val="22"/>
          <w:szCs w:val="22"/>
        </w:rPr>
      </w:pPr>
    </w:p>
    <w:p w14:paraId="31F85E3A" w14:textId="77777777" w:rsidR="00F17799" w:rsidRPr="0040309B" w:rsidRDefault="00F17799">
      <w:pPr>
        <w:spacing w:line="360" w:lineRule="auto"/>
        <w:jc w:val="both"/>
        <w:rPr>
          <w:color w:val="000000"/>
          <w:sz w:val="22"/>
          <w:szCs w:val="22"/>
        </w:rPr>
      </w:pPr>
    </w:p>
    <w:p w14:paraId="2043A5F9" w14:textId="3FC5A676" w:rsidR="00DD01E5" w:rsidRPr="0040309B" w:rsidRDefault="00000000">
      <w:pPr>
        <w:spacing w:line="360" w:lineRule="auto"/>
        <w:jc w:val="both"/>
        <w:rPr>
          <w:color w:val="000000"/>
          <w:sz w:val="22"/>
          <w:szCs w:val="22"/>
        </w:rPr>
      </w:pPr>
      <w:r w:rsidRPr="0040309B">
        <w:rPr>
          <w:b/>
          <w:color w:val="000000"/>
          <w:sz w:val="22"/>
          <w:szCs w:val="22"/>
        </w:rPr>
        <w:lastRenderedPageBreak/>
        <w:t xml:space="preserve">Supplementary Figure </w:t>
      </w:r>
      <w:r w:rsidR="00532236" w:rsidRPr="0040309B">
        <w:rPr>
          <w:b/>
          <w:color w:val="000000"/>
          <w:sz w:val="22"/>
          <w:szCs w:val="22"/>
        </w:rPr>
        <w:t>6</w:t>
      </w:r>
      <w:r w:rsidRPr="0040309B">
        <w:rPr>
          <w:b/>
          <w:color w:val="000000"/>
          <w:sz w:val="22"/>
          <w:szCs w:val="22"/>
        </w:rPr>
        <w:t>: KGN cells are susceptible to CBD-induced cell death, but primary human GCs are not. A</w:t>
      </w:r>
      <w:r w:rsidRPr="0040309B">
        <w:rPr>
          <w:color w:val="000000"/>
          <w:sz w:val="22"/>
          <w:szCs w:val="22"/>
        </w:rPr>
        <w:t>)</w:t>
      </w:r>
      <w:r w:rsidRPr="0040309B">
        <w:rPr>
          <w:b/>
          <w:color w:val="000000"/>
          <w:sz w:val="22"/>
          <w:szCs w:val="22"/>
        </w:rPr>
        <w:t> </w:t>
      </w:r>
      <w:r w:rsidRPr="0040309B">
        <w:rPr>
          <w:color w:val="000000"/>
          <w:sz w:val="22"/>
          <w:szCs w:val="22"/>
        </w:rPr>
        <w:t>Cell viability of normal, TRPV2-expressing KGN cells upon application of different concentrations of CBD (1-30 µM) for 6 h (</w:t>
      </w:r>
      <w:r w:rsidRPr="0040309B">
        <w:rPr>
          <w:b/>
          <w:color w:val="000000"/>
          <w:sz w:val="22"/>
          <w:szCs w:val="22"/>
        </w:rPr>
        <w:t>a</w:t>
      </w:r>
      <w:r w:rsidRPr="0040309B">
        <w:rPr>
          <w:color w:val="000000"/>
          <w:sz w:val="22"/>
          <w:szCs w:val="22"/>
        </w:rPr>
        <w:t>) and 24 h (</w:t>
      </w:r>
      <w:r w:rsidRPr="0040309B">
        <w:rPr>
          <w:b/>
          <w:color w:val="000000"/>
          <w:sz w:val="22"/>
          <w:szCs w:val="22"/>
        </w:rPr>
        <w:t>b</w:t>
      </w:r>
      <w:r w:rsidRPr="0040309B">
        <w:rPr>
          <w:color w:val="000000"/>
          <w:sz w:val="22"/>
          <w:szCs w:val="22"/>
        </w:rPr>
        <w:t xml:space="preserve">) was assessed by means of cell counting (n = 6, each). Viability is expressed in % of the </w:t>
      </w:r>
      <w:r w:rsidR="00EE3904">
        <w:rPr>
          <w:color w:val="000000"/>
          <w:sz w:val="22"/>
          <w:szCs w:val="22"/>
        </w:rPr>
        <w:t xml:space="preserve">solvent </w:t>
      </w:r>
      <w:r w:rsidRPr="0040309B">
        <w:rPr>
          <w:color w:val="000000"/>
          <w:sz w:val="22"/>
          <w:szCs w:val="22"/>
        </w:rPr>
        <w:t>control (EtOH</w:t>
      </w:r>
      <w:r w:rsidR="00EE3904">
        <w:rPr>
          <w:color w:val="000000"/>
          <w:sz w:val="22"/>
          <w:szCs w:val="22"/>
        </w:rPr>
        <w:t>; ctrl</w:t>
      </w:r>
      <w:r w:rsidRPr="0040309B">
        <w:rPr>
          <w:color w:val="000000"/>
          <w:sz w:val="22"/>
          <w:szCs w:val="22"/>
        </w:rPr>
        <w:t xml:space="preserve">). </w:t>
      </w:r>
      <w:r w:rsidRPr="0040309B">
        <w:rPr>
          <w:b/>
          <w:color w:val="000000"/>
          <w:sz w:val="22"/>
          <w:szCs w:val="22"/>
        </w:rPr>
        <w:t>B</w:t>
      </w:r>
      <w:r w:rsidRPr="0040309B">
        <w:rPr>
          <w:color w:val="000000"/>
          <w:sz w:val="22"/>
          <w:szCs w:val="22"/>
        </w:rPr>
        <w:t>) Presence of CBD (30 µM; green) strongly increased the resting membrane potential of KGN cells whereas the solvent control EtOH (EtOH ctrl.; gray) had no impact, as demonstrated by changes in emission of the voltage sensitive fluorescence dye DiBAC4(3) (total change in fluorescence intensity during presence of 30 µM CBD 181.1 ± 8.2%). Relative fluorescence intensity over time (normalized to t</w:t>
      </w:r>
      <w:r w:rsidRPr="0040309B">
        <w:rPr>
          <w:color w:val="000000"/>
          <w:sz w:val="22"/>
          <w:szCs w:val="22"/>
          <w:vertAlign w:val="subscript"/>
        </w:rPr>
        <w:t>0</w:t>
      </w:r>
      <w:r w:rsidRPr="0040309B">
        <w:rPr>
          <w:color w:val="000000"/>
          <w:sz w:val="22"/>
          <w:szCs w:val="22"/>
        </w:rPr>
        <w:t>) of 36 examined KGN cells, with representative live cell images displayed as pseudo-color images (black-purple – relatively hyperpolarized; yellow-white – relatively depolarized) at the indicated time points (</w:t>
      </w:r>
      <w:r w:rsidRPr="0040309B">
        <w:rPr>
          <w:b/>
          <w:color w:val="000000"/>
          <w:sz w:val="22"/>
          <w:szCs w:val="22"/>
        </w:rPr>
        <w:t>c</w:t>
      </w:r>
      <w:r w:rsidRPr="0040309B">
        <w:rPr>
          <w:color w:val="000000"/>
          <w:sz w:val="22"/>
          <w:szCs w:val="22"/>
        </w:rPr>
        <w:t>-</w:t>
      </w:r>
      <w:r w:rsidRPr="0040309B">
        <w:rPr>
          <w:b/>
          <w:color w:val="000000"/>
          <w:sz w:val="22"/>
          <w:szCs w:val="22"/>
        </w:rPr>
        <w:t>f</w:t>
      </w:r>
      <w:r w:rsidRPr="0040309B">
        <w:rPr>
          <w:color w:val="000000"/>
          <w:sz w:val="22"/>
          <w:szCs w:val="22"/>
        </w:rPr>
        <w:t xml:space="preserve">). Scale bar 50 µm. </w:t>
      </w:r>
      <w:r w:rsidRPr="0040309B">
        <w:rPr>
          <w:b/>
          <w:color w:val="000000"/>
          <w:sz w:val="22"/>
          <w:szCs w:val="22"/>
        </w:rPr>
        <w:t>C</w:t>
      </w:r>
      <w:r w:rsidRPr="0040309B">
        <w:rPr>
          <w:color w:val="000000"/>
          <w:sz w:val="22"/>
          <w:szCs w:val="22"/>
        </w:rPr>
        <w:t>) Primary human granulosa cells (</w:t>
      </w:r>
      <w:proofErr w:type="spellStart"/>
      <w:r w:rsidRPr="0040309B">
        <w:rPr>
          <w:color w:val="000000"/>
          <w:sz w:val="22"/>
          <w:szCs w:val="22"/>
        </w:rPr>
        <w:t>hGCs</w:t>
      </w:r>
      <w:proofErr w:type="spellEnd"/>
      <w:r w:rsidRPr="0040309B">
        <w:rPr>
          <w:color w:val="000000"/>
          <w:sz w:val="22"/>
          <w:szCs w:val="22"/>
        </w:rPr>
        <w:t>; boxed in cyan) and KGN cells (boxed in pink) were co-cultured alongside and treated with either 7 µM CBD (</w:t>
      </w:r>
      <w:r w:rsidRPr="0040309B">
        <w:rPr>
          <w:b/>
          <w:color w:val="000000"/>
          <w:sz w:val="22"/>
          <w:szCs w:val="22"/>
        </w:rPr>
        <w:t>c</w:t>
      </w:r>
      <w:r w:rsidRPr="0040309B">
        <w:rPr>
          <w:color w:val="000000"/>
          <w:sz w:val="22"/>
          <w:szCs w:val="22"/>
        </w:rPr>
        <w:t>) or the solvent control EtOH (</w:t>
      </w:r>
      <w:r w:rsidRPr="0040309B">
        <w:rPr>
          <w:b/>
          <w:color w:val="000000"/>
          <w:sz w:val="22"/>
          <w:szCs w:val="22"/>
        </w:rPr>
        <w:t>d</w:t>
      </w:r>
      <w:r w:rsidRPr="0040309B">
        <w:rPr>
          <w:color w:val="000000"/>
          <w:sz w:val="22"/>
          <w:szCs w:val="22"/>
        </w:rPr>
        <w:t xml:space="preserve">) for 24 h. Live cell imaging revealed induction of cell death exclusively in KGN cells. Representative micrographs with both cell types within the optical window at the start (top, t = 0 h) and the end of CBD treatment (bottom, t = 24 h). Scale bar 200 µm. </w:t>
      </w:r>
    </w:p>
    <w:p w14:paraId="5E42FF32" w14:textId="77777777" w:rsidR="00DD01E5" w:rsidRPr="0040309B" w:rsidRDefault="00000000">
      <w:pPr>
        <w:spacing w:line="360" w:lineRule="auto"/>
        <w:jc w:val="both"/>
        <w:rPr>
          <w:b/>
          <w:color w:val="000000"/>
          <w:sz w:val="22"/>
          <w:szCs w:val="22"/>
        </w:rPr>
      </w:pPr>
      <w:r w:rsidRPr="0040309B">
        <w:rPr>
          <w:b/>
          <w:noProof/>
          <w:color w:val="000000"/>
          <w:sz w:val="22"/>
          <w:szCs w:val="22"/>
        </w:rPr>
        <w:drawing>
          <wp:anchor distT="0" distB="0" distL="114300" distR="114300" simplePos="0" relativeHeight="251666432" behindDoc="0" locked="0" layoutInCell="1" hidden="0" allowOverlap="1" wp14:anchorId="4F1E098F" wp14:editId="4E618AEA">
            <wp:simplePos x="0" y="0"/>
            <wp:positionH relativeFrom="margin">
              <wp:posOffset>-812164</wp:posOffset>
            </wp:positionH>
            <wp:positionV relativeFrom="margin">
              <wp:posOffset>4164329</wp:posOffset>
            </wp:positionV>
            <wp:extent cx="7388225" cy="3886835"/>
            <wp:effectExtent l="0" t="0" r="0" b="0"/>
            <wp:wrapSquare wrapText="bothSides" distT="0" distB="0" distL="114300" distR="114300"/>
            <wp:docPr id="199070087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t="6354"/>
                    <a:stretch>
                      <a:fillRect/>
                    </a:stretch>
                  </pic:blipFill>
                  <pic:spPr>
                    <a:xfrm>
                      <a:off x="0" y="0"/>
                      <a:ext cx="7388225" cy="3886835"/>
                    </a:xfrm>
                    <a:prstGeom prst="rect">
                      <a:avLst/>
                    </a:prstGeom>
                    <a:ln/>
                  </pic:spPr>
                </pic:pic>
              </a:graphicData>
            </a:graphic>
          </wp:anchor>
        </w:drawing>
      </w:r>
    </w:p>
    <w:p w14:paraId="4B4514C7" w14:textId="77777777" w:rsidR="00DD01E5" w:rsidRPr="0040309B" w:rsidRDefault="00000000">
      <w:pPr>
        <w:rPr>
          <w:b/>
          <w:color w:val="000000"/>
          <w:sz w:val="22"/>
          <w:szCs w:val="22"/>
        </w:rPr>
      </w:pPr>
      <w:r w:rsidRPr="0040309B">
        <w:br w:type="page"/>
      </w:r>
    </w:p>
    <w:p w14:paraId="343AFA8C" w14:textId="07C6627F" w:rsidR="00DD01E5" w:rsidRPr="0040309B" w:rsidRDefault="00000000">
      <w:pPr>
        <w:spacing w:line="360" w:lineRule="auto"/>
        <w:jc w:val="both"/>
        <w:rPr>
          <w:color w:val="000000"/>
          <w:sz w:val="22"/>
          <w:szCs w:val="22"/>
        </w:rPr>
      </w:pPr>
      <w:r w:rsidRPr="0040309B">
        <w:rPr>
          <w:b/>
          <w:color w:val="000000"/>
          <w:sz w:val="22"/>
          <w:szCs w:val="22"/>
        </w:rPr>
        <w:lastRenderedPageBreak/>
        <w:t>Supplementary Figure</w:t>
      </w:r>
      <w:r w:rsidR="00532236" w:rsidRPr="0040309B">
        <w:rPr>
          <w:b/>
          <w:color w:val="000000"/>
          <w:sz w:val="22"/>
          <w:szCs w:val="22"/>
        </w:rPr>
        <w:t xml:space="preserve"> 7</w:t>
      </w:r>
      <w:r w:rsidRPr="0040309B">
        <w:rPr>
          <w:b/>
          <w:color w:val="000000"/>
          <w:sz w:val="22"/>
          <w:szCs w:val="22"/>
        </w:rPr>
        <w:t xml:space="preserve">: Absence of TRPV2 makes KGN cell less vulnerable to CBD-induced cell death and contribution of VDAC1 &amp; </w:t>
      </w:r>
      <w:proofErr w:type="spellStart"/>
      <w:r w:rsidRPr="0040309B">
        <w:rPr>
          <w:b/>
          <w:color w:val="000000"/>
          <w:sz w:val="22"/>
          <w:szCs w:val="22"/>
        </w:rPr>
        <w:t>mPTP</w:t>
      </w:r>
      <w:proofErr w:type="spellEnd"/>
      <w:r w:rsidRPr="0040309B">
        <w:rPr>
          <w:b/>
          <w:color w:val="000000"/>
          <w:sz w:val="22"/>
          <w:szCs w:val="22"/>
        </w:rPr>
        <w:t xml:space="preserve"> to this action. A</w:t>
      </w:r>
      <w:r w:rsidRPr="0040309B">
        <w:rPr>
          <w:color w:val="000000"/>
          <w:sz w:val="22"/>
          <w:szCs w:val="22"/>
        </w:rPr>
        <w:t>) Representative micrographs of WT (top) and TRPV2-deficient clones #4 (middle) and #13 (bottom) captured at the end of a 6 h treatment with either 11 µM CBD (</w:t>
      </w:r>
      <w:r w:rsidRPr="0040309B">
        <w:rPr>
          <w:b/>
          <w:color w:val="000000"/>
          <w:sz w:val="22"/>
          <w:szCs w:val="22"/>
        </w:rPr>
        <w:t>a</w:t>
      </w:r>
      <w:r w:rsidRPr="0040309B">
        <w:rPr>
          <w:color w:val="000000"/>
          <w:sz w:val="22"/>
          <w:szCs w:val="22"/>
        </w:rPr>
        <w:t>) or the solvent control EtOH (</w:t>
      </w:r>
      <w:r w:rsidRPr="0040309B">
        <w:rPr>
          <w:b/>
          <w:color w:val="000000"/>
          <w:sz w:val="22"/>
          <w:szCs w:val="22"/>
        </w:rPr>
        <w:t>b</w:t>
      </w:r>
      <w:r w:rsidRPr="0040309B">
        <w:rPr>
          <w:color w:val="000000"/>
          <w:sz w:val="22"/>
          <w:szCs w:val="22"/>
        </w:rPr>
        <w:t xml:space="preserve">), revealing the appearance of cell death signs (nuclear condensation, intracellular vacuolization) only in WT cells. Scale bar 100 µm. </w:t>
      </w:r>
      <w:r w:rsidRPr="0040309B">
        <w:rPr>
          <w:b/>
          <w:color w:val="000000"/>
          <w:sz w:val="22"/>
          <w:szCs w:val="22"/>
        </w:rPr>
        <w:t>B</w:t>
      </w:r>
      <w:r w:rsidRPr="0040309B">
        <w:rPr>
          <w:color w:val="000000"/>
          <w:sz w:val="22"/>
          <w:szCs w:val="22"/>
        </w:rPr>
        <w:t>)</w:t>
      </w:r>
      <w:r w:rsidRPr="0040309B">
        <w:rPr>
          <w:b/>
          <w:color w:val="000000"/>
          <w:sz w:val="22"/>
          <w:szCs w:val="22"/>
        </w:rPr>
        <w:t> </w:t>
      </w:r>
      <w:r w:rsidRPr="0040309B">
        <w:rPr>
          <w:color w:val="000000"/>
          <w:sz w:val="22"/>
          <w:szCs w:val="22"/>
        </w:rPr>
        <w:t>Expression of VDAC</w:t>
      </w:r>
      <w:r w:rsidR="004C5196">
        <w:rPr>
          <w:color w:val="000000"/>
          <w:sz w:val="22"/>
          <w:szCs w:val="22"/>
        </w:rPr>
        <w:t>1</w:t>
      </w:r>
      <w:r w:rsidRPr="0040309B">
        <w:rPr>
          <w:color w:val="000000"/>
          <w:sz w:val="22"/>
          <w:szCs w:val="22"/>
        </w:rPr>
        <w:t xml:space="preserve"> in GCTs (</w:t>
      </w:r>
      <w:r w:rsidRPr="0040309B">
        <w:rPr>
          <w:b/>
          <w:color w:val="000000"/>
          <w:sz w:val="22"/>
          <w:szCs w:val="22"/>
        </w:rPr>
        <w:t>c</w:t>
      </w:r>
      <w:r w:rsidRPr="0040309B">
        <w:rPr>
          <w:color w:val="000000"/>
          <w:sz w:val="22"/>
          <w:szCs w:val="22"/>
        </w:rPr>
        <w:t>) and KGN cells (</w:t>
      </w:r>
      <w:r w:rsidRPr="0040309B">
        <w:rPr>
          <w:b/>
          <w:color w:val="000000"/>
          <w:sz w:val="22"/>
          <w:szCs w:val="22"/>
        </w:rPr>
        <w:t>d</w:t>
      </w:r>
      <w:r w:rsidRPr="0040309B">
        <w:rPr>
          <w:color w:val="000000"/>
          <w:sz w:val="22"/>
          <w:szCs w:val="22"/>
        </w:rPr>
        <w:t xml:space="preserve">) demonstrated by means of immunohistochemistry and Western Blotting, respectively. </w:t>
      </w:r>
      <w:r w:rsidR="00F17799" w:rsidRPr="0040309B">
        <w:rPr>
          <w:color w:val="000000"/>
          <w:sz w:val="22"/>
          <w:szCs w:val="22"/>
        </w:rPr>
        <w:t>Cropped blot image shown</w:t>
      </w:r>
      <w:r w:rsidR="00954581" w:rsidRPr="0040309B">
        <w:rPr>
          <w:color w:val="000000"/>
          <w:sz w:val="22"/>
          <w:szCs w:val="22"/>
        </w:rPr>
        <w:t xml:space="preserve"> original gel images are provided in </w:t>
      </w:r>
      <w:r w:rsidR="00954581" w:rsidRPr="0040309B">
        <w:rPr>
          <w:b/>
          <w:bCs/>
          <w:color w:val="000000"/>
          <w:sz w:val="22"/>
          <w:szCs w:val="22"/>
        </w:rPr>
        <w:t>Supplementary Figure 9</w:t>
      </w:r>
      <w:r w:rsidRPr="0040309B">
        <w:rPr>
          <w:b/>
          <w:color w:val="000000"/>
          <w:sz w:val="22"/>
          <w:szCs w:val="22"/>
        </w:rPr>
        <w:t>C</w:t>
      </w:r>
      <w:r w:rsidR="004C5196">
        <w:rPr>
          <w:b/>
          <w:color w:val="000000"/>
          <w:sz w:val="22"/>
          <w:szCs w:val="22"/>
        </w:rPr>
        <w:t>.</w:t>
      </w:r>
      <w:r w:rsidRPr="004C5196">
        <w:rPr>
          <w:color w:val="000000"/>
          <w:sz w:val="22"/>
          <w:szCs w:val="22"/>
        </w:rPr>
        <w:t xml:space="preserve">) </w:t>
      </w:r>
      <w:r w:rsidRPr="0040309B">
        <w:rPr>
          <w:color w:val="000000"/>
          <w:sz w:val="22"/>
          <w:szCs w:val="22"/>
        </w:rPr>
        <w:t>Representative micrographs from WT (</w:t>
      </w:r>
      <w:r w:rsidRPr="0040309B">
        <w:rPr>
          <w:b/>
          <w:color w:val="000000"/>
          <w:sz w:val="22"/>
          <w:szCs w:val="22"/>
        </w:rPr>
        <w:t>e</w:t>
      </w:r>
      <w:r w:rsidRPr="0040309B">
        <w:rPr>
          <w:color w:val="000000"/>
          <w:sz w:val="22"/>
          <w:szCs w:val="22"/>
        </w:rPr>
        <w:t>) and TRPV2-deficient clones #4 (</w:t>
      </w:r>
      <w:r w:rsidRPr="0040309B">
        <w:rPr>
          <w:b/>
          <w:color w:val="000000"/>
          <w:sz w:val="22"/>
          <w:szCs w:val="22"/>
        </w:rPr>
        <w:t>f</w:t>
      </w:r>
      <w:r w:rsidRPr="0040309B">
        <w:rPr>
          <w:color w:val="000000"/>
          <w:sz w:val="22"/>
          <w:szCs w:val="22"/>
        </w:rPr>
        <w:t>) and #13 (</w:t>
      </w:r>
      <w:r w:rsidRPr="0040309B">
        <w:rPr>
          <w:b/>
          <w:color w:val="000000"/>
          <w:sz w:val="22"/>
          <w:szCs w:val="22"/>
        </w:rPr>
        <w:t>g</w:t>
      </w:r>
      <w:r w:rsidRPr="0040309B">
        <w:rPr>
          <w:color w:val="000000"/>
          <w:sz w:val="22"/>
          <w:szCs w:val="22"/>
        </w:rPr>
        <w:t xml:space="preserve">) captured after 24 h treatment with the solvent control EtOH, corresponding to Figure 6B. </w:t>
      </w:r>
      <w:r w:rsidRPr="0040309B">
        <w:rPr>
          <w:b/>
          <w:color w:val="000000"/>
          <w:sz w:val="22"/>
          <w:szCs w:val="22"/>
        </w:rPr>
        <w:t>D</w:t>
      </w:r>
      <w:r w:rsidRPr="0040309B">
        <w:rPr>
          <w:color w:val="000000"/>
          <w:sz w:val="22"/>
          <w:szCs w:val="22"/>
        </w:rPr>
        <w:t xml:space="preserve">) Contribution of the </w:t>
      </w:r>
      <w:proofErr w:type="spellStart"/>
      <w:r w:rsidRPr="0040309B">
        <w:rPr>
          <w:color w:val="000000"/>
          <w:sz w:val="22"/>
          <w:szCs w:val="22"/>
        </w:rPr>
        <w:t>mPTP</w:t>
      </w:r>
      <w:proofErr w:type="spellEnd"/>
      <w:r w:rsidRPr="0040309B">
        <w:rPr>
          <w:color w:val="000000"/>
          <w:sz w:val="22"/>
          <w:szCs w:val="22"/>
        </w:rPr>
        <w:t xml:space="preserve"> to CBD-induced cell death was assessed by co-application of </w:t>
      </w:r>
      <w:proofErr w:type="spellStart"/>
      <w:r w:rsidRPr="0040309B">
        <w:rPr>
          <w:color w:val="000000"/>
          <w:sz w:val="22"/>
          <w:szCs w:val="22"/>
        </w:rPr>
        <w:t>CysA</w:t>
      </w:r>
      <w:proofErr w:type="spellEnd"/>
      <w:r w:rsidRPr="0040309B">
        <w:rPr>
          <w:color w:val="000000"/>
          <w:sz w:val="22"/>
          <w:szCs w:val="22"/>
        </w:rPr>
        <w:t xml:space="preserve"> (7 µM) and CBD (7 µM), followed by determination of cell viability by means of cell counting. Presence of </w:t>
      </w:r>
      <w:proofErr w:type="spellStart"/>
      <w:r w:rsidRPr="0040309B">
        <w:rPr>
          <w:color w:val="000000"/>
          <w:sz w:val="22"/>
          <w:szCs w:val="22"/>
        </w:rPr>
        <w:t>CysA</w:t>
      </w:r>
      <w:proofErr w:type="spellEnd"/>
      <w:r w:rsidRPr="0040309B">
        <w:rPr>
          <w:color w:val="000000"/>
          <w:sz w:val="22"/>
          <w:szCs w:val="22"/>
        </w:rPr>
        <w:t xml:space="preserve"> revealed to have a significantly protective effect for all three cell types and leveled any difference between those (n = 11-12, each).</w:t>
      </w:r>
    </w:p>
    <w:p w14:paraId="55AAA80C" w14:textId="77777777" w:rsidR="00DD01E5" w:rsidRPr="0040309B" w:rsidRDefault="00000000">
      <w:pPr>
        <w:spacing w:line="360" w:lineRule="auto"/>
        <w:jc w:val="both"/>
        <w:rPr>
          <w:color w:val="000000"/>
          <w:sz w:val="22"/>
          <w:szCs w:val="22"/>
        </w:rPr>
      </w:pPr>
      <w:r w:rsidRPr="0040309B">
        <w:rPr>
          <w:noProof/>
          <w:color w:val="000000"/>
          <w:sz w:val="22"/>
          <w:szCs w:val="22"/>
        </w:rPr>
        <w:drawing>
          <wp:anchor distT="0" distB="0" distL="114300" distR="114300" simplePos="0" relativeHeight="251667456" behindDoc="0" locked="0" layoutInCell="1" hidden="0" allowOverlap="1" wp14:anchorId="0F1B164B" wp14:editId="1D32E236">
            <wp:simplePos x="0" y="0"/>
            <wp:positionH relativeFrom="margin">
              <wp:posOffset>-916939</wp:posOffset>
            </wp:positionH>
            <wp:positionV relativeFrom="margin">
              <wp:posOffset>3466234</wp:posOffset>
            </wp:positionV>
            <wp:extent cx="7543165" cy="4009390"/>
            <wp:effectExtent l="0" t="0" r="0" b="0"/>
            <wp:wrapSquare wrapText="bothSides" distT="0" distB="0" distL="114300" distR="114300"/>
            <wp:docPr id="199070086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t="5394"/>
                    <a:stretch>
                      <a:fillRect/>
                    </a:stretch>
                  </pic:blipFill>
                  <pic:spPr>
                    <a:xfrm>
                      <a:off x="0" y="0"/>
                      <a:ext cx="7543165" cy="4009390"/>
                    </a:xfrm>
                    <a:prstGeom prst="rect">
                      <a:avLst/>
                    </a:prstGeom>
                    <a:ln/>
                  </pic:spPr>
                </pic:pic>
              </a:graphicData>
            </a:graphic>
          </wp:anchor>
        </w:drawing>
      </w:r>
    </w:p>
    <w:p w14:paraId="0EFDB060" w14:textId="77777777" w:rsidR="00DD01E5" w:rsidRPr="0040309B" w:rsidRDefault="00000000">
      <w:pPr>
        <w:rPr>
          <w:b/>
          <w:color w:val="000000"/>
          <w:sz w:val="22"/>
          <w:szCs w:val="22"/>
        </w:rPr>
      </w:pPr>
      <w:r w:rsidRPr="0040309B">
        <w:br w:type="page"/>
      </w:r>
    </w:p>
    <w:p w14:paraId="35640873" w14:textId="3424D560" w:rsidR="00DD01E5" w:rsidRPr="00EE3904" w:rsidRDefault="00154A81">
      <w:pPr>
        <w:spacing w:line="360" w:lineRule="auto"/>
        <w:jc w:val="both"/>
        <w:rPr>
          <w:b/>
          <w:color w:val="000000"/>
          <w:sz w:val="22"/>
          <w:szCs w:val="22"/>
        </w:rPr>
      </w:pPr>
      <w:r>
        <w:rPr>
          <w:noProof/>
          <w:color w:val="000000"/>
          <w:sz w:val="22"/>
          <w:szCs w:val="22"/>
        </w:rPr>
        <w:lastRenderedPageBreak/>
        <w:drawing>
          <wp:anchor distT="0" distB="0" distL="114300" distR="114300" simplePos="0" relativeHeight="251675648" behindDoc="0" locked="0" layoutInCell="1" allowOverlap="1" wp14:anchorId="340961A7" wp14:editId="1095E5B9">
            <wp:simplePos x="0" y="0"/>
            <wp:positionH relativeFrom="margin">
              <wp:posOffset>-819785</wp:posOffset>
            </wp:positionH>
            <wp:positionV relativeFrom="margin">
              <wp:posOffset>2077085</wp:posOffset>
            </wp:positionV>
            <wp:extent cx="7439660" cy="2472055"/>
            <wp:effectExtent l="0" t="0" r="2540" b="4445"/>
            <wp:wrapSquare wrapText="bothSides"/>
            <wp:docPr id="63244882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448821" name="Grafik 632448821"/>
                    <pic:cNvPicPr/>
                  </pic:nvPicPr>
                  <pic:blipFill>
                    <a:blip r:embed="rId17">
                      <a:extLst>
                        <a:ext uri="{28A0092B-C50C-407E-A947-70E740481C1C}">
                          <a14:useLocalDpi xmlns:a14="http://schemas.microsoft.com/office/drawing/2010/main" val="0"/>
                        </a:ext>
                      </a:extLst>
                    </a:blip>
                    <a:stretch>
                      <a:fillRect/>
                    </a:stretch>
                  </pic:blipFill>
                  <pic:spPr>
                    <a:xfrm>
                      <a:off x="0" y="0"/>
                      <a:ext cx="7439660" cy="2472055"/>
                    </a:xfrm>
                    <a:prstGeom prst="rect">
                      <a:avLst/>
                    </a:prstGeom>
                  </pic:spPr>
                </pic:pic>
              </a:graphicData>
            </a:graphic>
            <wp14:sizeRelH relativeFrom="margin">
              <wp14:pctWidth>0</wp14:pctWidth>
            </wp14:sizeRelH>
            <wp14:sizeRelV relativeFrom="margin">
              <wp14:pctHeight>0</wp14:pctHeight>
            </wp14:sizeRelV>
          </wp:anchor>
        </w:drawing>
      </w:r>
      <w:r w:rsidR="00000000" w:rsidRPr="0040309B">
        <w:rPr>
          <w:b/>
          <w:color w:val="000000"/>
          <w:sz w:val="22"/>
          <w:szCs w:val="22"/>
        </w:rPr>
        <w:t xml:space="preserve">Supplementary Figure </w:t>
      </w:r>
      <w:r w:rsidR="00532236" w:rsidRPr="0040309B">
        <w:rPr>
          <w:b/>
          <w:color w:val="000000"/>
          <w:sz w:val="22"/>
          <w:szCs w:val="22"/>
        </w:rPr>
        <w:t>8</w:t>
      </w:r>
      <w:r w:rsidR="00000000" w:rsidRPr="0040309B">
        <w:rPr>
          <w:b/>
          <w:color w:val="000000"/>
          <w:sz w:val="22"/>
          <w:szCs w:val="22"/>
        </w:rPr>
        <w:t>: Original images of agarose gels. A</w:t>
      </w:r>
      <w:r w:rsidR="00000000" w:rsidRPr="0040309B">
        <w:rPr>
          <w:color w:val="000000"/>
          <w:sz w:val="22"/>
          <w:szCs w:val="22"/>
        </w:rPr>
        <w:t xml:space="preserve">) Original agarose gel image with </w:t>
      </w:r>
      <w:r w:rsidR="00000000" w:rsidRPr="0040309B">
        <w:rPr>
          <w:i/>
          <w:color w:val="000000"/>
          <w:sz w:val="22"/>
          <w:szCs w:val="22"/>
        </w:rPr>
        <w:t>TRPV2</w:t>
      </w:r>
      <w:r w:rsidR="00000000" w:rsidRPr="0040309B">
        <w:rPr>
          <w:color w:val="000000"/>
          <w:sz w:val="22"/>
          <w:szCs w:val="22"/>
        </w:rPr>
        <w:t xml:space="preserve"> PCR product bands sized 100 bp </w:t>
      </w:r>
      <w:r w:rsidR="00EE3904">
        <w:rPr>
          <w:color w:val="000000"/>
          <w:sz w:val="22"/>
          <w:szCs w:val="22"/>
        </w:rPr>
        <w:t xml:space="preserve">as </w:t>
      </w:r>
      <w:r w:rsidR="00000000" w:rsidRPr="0040309B">
        <w:rPr>
          <w:color w:val="000000"/>
          <w:sz w:val="22"/>
          <w:szCs w:val="22"/>
        </w:rPr>
        <w:t xml:space="preserve">obtained from GCTs. Three independent GCT samples were used. </w:t>
      </w:r>
      <w:r w:rsidR="00000000" w:rsidRPr="0040309B">
        <w:rPr>
          <w:b/>
          <w:color w:val="000000"/>
          <w:sz w:val="22"/>
          <w:szCs w:val="22"/>
        </w:rPr>
        <w:t>B</w:t>
      </w:r>
      <w:r w:rsidR="00000000" w:rsidRPr="0040309B">
        <w:rPr>
          <w:color w:val="000000"/>
          <w:sz w:val="22"/>
          <w:szCs w:val="22"/>
        </w:rPr>
        <w:t xml:space="preserve">) Original agarose gel image with </w:t>
      </w:r>
      <w:r w:rsidR="00000000" w:rsidRPr="0040309B">
        <w:rPr>
          <w:i/>
          <w:color w:val="000000"/>
          <w:sz w:val="22"/>
          <w:szCs w:val="22"/>
        </w:rPr>
        <w:t>TRPV2</w:t>
      </w:r>
      <w:r w:rsidR="00000000" w:rsidRPr="0040309B">
        <w:rPr>
          <w:color w:val="000000"/>
          <w:sz w:val="22"/>
          <w:szCs w:val="22"/>
        </w:rPr>
        <w:t xml:space="preserve"> PCR product bands sized 100 bp </w:t>
      </w:r>
      <w:r w:rsidR="00EE3904">
        <w:rPr>
          <w:color w:val="000000"/>
          <w:sz w:val="22"/>
          <w:szCs w:val="22"/>
        </w:rPr>
        <w:t xml:space="preserve">as </w:t>
      </w:r>
      <w:r w:rsidR="00000000" w:rsidRPr="0040309B">
        <w:rPr>
          <w:color w:val="000000"/>
          <w:sz w:val="22"/>
          <w:szCs w:val="22"/>
        </w:rPr>
        <w:t xml:space="preserve">obtained from KGN RNA samples derived from three different passages (P36, P38 and P42). </w:t>
      </w:r>
      <w:r w:rsidR="00000000" w:rsidRPr="0040309B">
        <w:rPr>
          <w:b/>
          <w:color w:val="000000"/>
          <w:sz w:val="22"/>
          <w:szCs w:val="22"/>
        </w:rPr>
        <w:t>C</w:t>
      </w:r>
      <w:r w:rsidR="00000000" w:rsidRPr="0040309B">
        <w:rPr>
          <w:color w:val="000000"/>
          <w:sz w:val="22"/>
          <w:szCs w:val="22"/>
        </w:rPr>
        <w:t xml:space="preserve">) Original agarose gel image with </w:t>
      </w:r>
      <w:r w:rsidR="00000000" w:rsidRPr="0040309B">
        <w:rPr>
          <w:i/>
          <w:color w:val="000000"/>
          <w:sz w:val="22"/>
          <w:szCs w:val="22"/>
        </w:rPr>
        <w:t>TRPV2</w:t>
      </w:r>
      <w:r w:rsidR="00000000" w:rsidRPr="0040309B">
        <w:rPr>
          <w:color w:val="000000"/>
          <w:sz w:val="22"/>
          <w:szCs w:val="22"/>
        </w:rPr>
        <w:t xml:space="preserve"> product bands sized ~</w:t>
      </w:r>
      <w:r w:rsidR="008C3536">
        <w:rPr>
          <w:color w:val="000000"/>
          <w:sz w:val="22"/>
          <w:szCs w:val="22"/>
        </w:rPr>
        <w:t>29</w:t>
      </w:r>
      <w:r w:rsidR="00000000" w:rsidRPr="0040309B">
        <w:rPr>
          <w:color w:val="000000"/>
          <w:sz w:val="22"/>
          <w:szCs w:val="22"/>
        </w:rPr>
        <w:t>0 bp in WT and ~1</w:t>
      </w:r>
      <w:r w:rsidR="008C3536">
        <w:rPr>
          <w:color w:val="000000"/>
          <w:sz w:val="22"/>
          <w:szCs w:val="22"/>
        </w:rPr>
        <w:t>7</w:t>
      </w:r>
      <w:r w:rsidR="00000000" w:rsidRPr="0040309B">
        <w:rPr>
          <w:color w:val="000000"/>
          <w:sz w:val="22"/>
          <w:szCs w:val="22"/>
        </w:rPr>
        <w:t>0 bp in TRPV2-deficient clones #4 and #13, respectively. Omission of the reverse transcriptase during cDNA synthesis (-RT) or water instead of cDNA within the PCR reaction (H</w:t>
      </w:r>
      <w:r w:rsidR="00000000" w:rsidRPr="0040309B">
        <w:rPr>
          <w:color w:val="000000"/>
          <w:sz w:val="22"/>
          <w:szCs w:val="22"/>
          <w:vertAlign w:val="subscript"/>
        </w:rPr>
        <w:t>2</w:t>
      </w:r>
      <w:r w:rsidR="00000000" w:rsidRPr="0040309B">
        <w:rPr>
          <w:color w:val="000000"/>
          <w:sz w:val="22"/>
          <w:szCs w:val="22"/>
        </w:rPr>
        <w:t>O) served as negative controls. Any bands shown in the manuscript are boxed in black and the corresponding figure is stated in the header.</w:t>
      </w:r>
    </w:p>
    <w:p w14:paraId="28E7907A" w14:textId="7FE415F8" w:rsidR="00DD01E5" w:rsidRPr="0040309B" w:rsidRDefault="00DD01E5">
      <w:pPr>
        <w:spacing w:line="360" w:lineRule="auto"/>
        <w:jc w:val="both"/>
        <w:rPr>
          <w:color w:val="000000"/>
          <w:sz w:val="22"/>
          <w:szCs w:val="22"/>
        </w:rPr>
      </w:pPr>
    </w:p>
    <w:p w14:paraId="569E7109" w14:textId="4BC087C1" w:rsidR="00DD01E5" w:rsidRPr="0040309B" w:rsidRDefault="00DD01E5">
      <w:pPr>
        <w:spacing w:line="360" w:lineRule="auto"/>
        <w:jc w:val="both"/>
        <w:rPr>
          <w:color w:val="000000"/>
          <w:sz w:val="22"/>
          <w:szCs w:val="22"/>
        </w:rPr>
      </w:pPr>
    </w:p>
    <w:p w14:paraId="17634282" w14:textId="0DA50CAD" w:rsidR="00DD01E5" w:rsidRPr="0040309B" w:rsidRDefault="00DD01E5">
      <w:pPr>
        <w:spacing w:line="360" w:lineRule="auto"/>
        <w:jc w:val="both"/>
        <w:rPr>
          <w:color w:val="000000"/>
          <w:sz w:val="22"/>
          <w:szCs w:val="22"/>
        </w:rPr>
      </w:pPr>
    </w:p>
    <w:p w14:paraId="55FB3FB4" w14:textId="09CDD0BD" w:rsidR="00DD01E5" w:rsidRPr="0040309B" w:rsidRDefault="00DD01E5">
      <w:pPr>
        <w:spacing w:line="360" w:lineRule="auto"/>
        <w:jc w:val="both"/>
        <w:rPr>
          <w:color w:val="000000"/>
          <w:sz w:val="22"/>
          <w:szCs w:val="22"/>
        </w:rPr>
      </w:pPr>
    </w:p>
    <w:p w14:paraId="22C7CB5D" w14:textId="77777777" w:rsidR="00DD01E5" w:rsidRPr="0040309B" w:rsidRDefault="00DD01E5">
      <w:pPr>
        <w:spacing w:line="360" w:lineRule="auto"/>
        <w:jc w:val="both"/>
        <w:rPr>
          <w:color w:val="000000"/>
          <w:sz w:val="22"/>
          <w:szCs w:val="22"/>
        </w:rPr>
      </w:pPr>
    </w:p>
    <w:p w14:paraId="65D162A2" w14:textId="77777777" w:rsidR="00DD01E5" w:rsidRPr="0040309B" w:rsidRDefault="00DD01E5">
      <w:pPr>
        <w:spacing w:line="360" w:lineRule="auto"/>
        <w:jc w:val="both"/>
        <w:rPr>
          <w:color w:val="000000"/>
          <w:sz w:val="22"/>
          <w:szCs w:val="22"/>
        </w:rPr>
      </w:pPr>
    </w:p>
    <w:p w14:paraId="2CC1D55E" w14:textId="77777777" w:rsidR="00DD01E5" w:rsidRPr="0040309B" w:rsidRDefault="00DD01E5">
      <w:pPr>
        <w:spacing w:line="360" w:lineRule="auto"/>
        <w:jc w:val="both"/>
        <w:rPr>
          <w:color w:val="000000"/>
          <w:sz w:val="22"/>
          <w:szCs w:val="22"/>
        </w:rPr>
      </w:pPr>
    </w:p>
    <w:p w14:paraId="23233BEF" w14:textId="77777777" w:rsidR="00DD01E5" w:rsidRPr="0040309B" w:rsidRDefault="00DD01E5">
      <w:pPr>
        <w:spacing w:line="360" w:lineRule="auto"/>
        <w:jc w:val="both"/>
        <w:rPr>
          <w:color w:val="000000"/>
          <w:sz w:val="22"/>
          <w:szCs w:val="22"/>
        </w:rPr>
      </w:pPr>
    </w:p>
    <w:p w14:paraId="19BF0FED" w14:textId="77777777" w:rsidR="00DD01E5" w:rsidRPr="0040309B" w:rsidRDefault="00DD01E5">
      <w:pPr>
        <w:spacing w:line="360" w:lineRule="auto"/>
        <w:jc w:val="both"/>
        <w:rPr>
          <w:color w:val="000000"/>
          <w:sz w:val="22"/>
          <w:szCs w:val="22"/>
        </w:rPr>
      </w:pPr>
    </w:p>
    <w:p w14:paraId="51D2B13E" w14:textId="77777777" w:rsidR="00DD01E5" w:rsidRPr="0040309B" w:rsidRDefault="00DD01E5">
      <w:pPr>
        <w:spacing w:line="360" w:lineRule="auto"/>
        <w:jc w:val="both"/>
        <w:rPr>
          <w:color w:val="000000"/>
          <w:sz w:val="22"/>
          <w:szCs w:val="22"/>
        </w:rPr>
      </w:pPr>
    </w:p>
    <w:p w14:paraId="1AE66F91" w14:textId="77777777" w:rsidR="00DD01E5" w:rsidRPr="0040309B" w:rsidRDefault="00DD01E5">
      <w:pPr>
        <w:spacing w:line="360" w:lineRule="auto"/>
        <w:jc w:val="both"/>
        <w:rPr>
          <w:color w:val="000000"/>
          <w:sz w:val="22"/>
          <w:szCs w:val="22"/>
        </w:rPr>
      </w:pPr>
    </w:p>
    <w:p w14:paraId="1552D190" w14:textId="77777777" w:rsidR="00DD01E5" w:rsidRDefault="00DD01E5">
      <w:pPr>
        <w:spacing w:line="360" w:lineRule="auto"/>
        <w:jc w:val="both"/>
        <w:rPr>
          <w:color w:val="000000"/>
          <w:sz w:val="22"/>
          <w:szCs w:val="22"/>
        </w:rPr>
      </w:pPr>
    </w:p>
    <w:p w14:paraId="10EE29E0" w14:textId="77777777" w:rsidR="004C5196" w:rsidRDefault="004C5196">
      <w:pPr>
        <w:spacing w:line="360" w:lineRule="auto"/>
        <w:jc w:val="both"/>
        <w:rPr>
          <w:color w:val="000000"/>
          <w:sz w:val="22"/>
          <w:szCs w:val="22"/>
        </w:rPr>
      </w:pPr>
    </w:p>
    <w:p w14:paraId="2265A9C1" w14:textId="77777777" w:rsidR="004C5196" w:rsidRDefault="004C5196">
      <w:pPr>
        <w:spacing w:line="360" w:lineRule="auto"/>
        <w:jc w:val="both"/>
        <w:rPr>
          <w:color w:val="000000"/>
          <w:sz w:val="22"/>
          <w:szCs w:val="22"/>
        </w:rPr>
      </w:pPr>
    </w:p>
    <w:p w14:paraId="51249BFA" w14:textId="77777777" w:rsidR="004C5196" w:rsidRPr="0040309B" w:rsidRDefault="004C5196">
      <w:pPr>
        <w:spacing w:line="360" w:lineRule="auto"/>
        <w:jc w:val="both"/>
        <w:rPr>
          <w:color w:val="000000"/>
          <w:sz w:val="22"/>
          <w:szCs w:val="22"/>
        </w:rPr>
      </w:pPr>
    </w:p>
    <w:p w14:paraId="253E4A85" w14:textId="77777777" w:rsidR="00DD01E5" w:rsidRPr="0040309B" w:rsidRDefault="00DD01E5">
      <w:pPr>
        <w:spacing w:line="360" w:lineRule="auto"/>
        <w:jc w:val="both"/>
        <w:rPr>
          <w:color w:val="000000"/>
          <w:sz w:val="22"/>
          <w:szCs w:val="22"/>
        </w:rPr>
      </w:pPr>
    </w:p>
    <w:p w14:paraId="61BD958C" w14:textId="1D1D9917" w:rsidR="00DD01E5" w:rsidRPr="0040309B" w:rsidRDefault="00154A81">
      <w:pPr>
        <w:spacing w:line="360" w:lineRule="auto"/>
        <w:jc w:val="both"/>
        <w:rPr>
          <w:color w:val="000000"/>
          <w:sz w:val="22"/>
          <w:szCs w:val="22"/>
        </w:rPr>
      </w:pPr>
      <w:r>
        <w:rPr>
          <w:noProof/>
        </w:rPr>
        <w:lastRenderedPageBreak/>
        <w:drawing>
          <wp:anchor distT="0" distB="0" distL="114300" distR="114300" simplePos="0" relativeHeight="251676672" behindDoc="0" locked="0" layoutInCell="1" allowOverlap="1" wp14:anchorId="5BF0BA11" wp14:editId="6C153E74">
            <wp:simplePos x="0" y="0"/>
            <wp:positionH relativeFrom="margin">
              <wp:posOffset>-841375</wp:posOffset>
            </wp:positionH>
            <wp:positionV relativeFrom="margin">
              <wp:posOffset>2332990</wp:posOffset>
            </wp:positionV>
            <wp:extent cx="7439025" cy="3863340"/>
            <wp:effectExtent l="0" t="0" r="3175" b="0"/>
            <wp:wrapSquare wrapText="bothSides"/>
            <wp:docPr id="87639333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393333" name="Grafik 876393333"/>
                    <pic:cNvPicPr/>
                  </pic:nvPicPr>
                  <pic:blipFill>
                    <a:blip r:embed="rId18">
                      <a:extLst>
                        <a:ext uri="{28A0092B-C50C-407E-A947-70E740481C1C}">
                          <a14:useLocalDpi xmlns:a14="http://schemas.microsoft.com/office/drawing/2010/main" val="0"/>
                        </a:ext>
                      </a:extLst>
                    </a:blip>
                    <a:stretch>
                      <a:fillRect/>
                    </a:stretch>
                  </pic:blipFill>
                  <pic:spPr>
                    <a:xfrm>
                      <a:off x="0" y="0"/>
                      <a:ext cx="7439025" cy="3863340"/>
                    </a:xfrm>
                    <a:prstGeom prst="rect">
                      <a:avLst/>
                    </a:prstGeom>
                  </pic:spPr>
                </pic:pic>
              </a:graphicData>
            </a:graphic>
            <wp14:sizeRelH relativeFrom="margin">
              <wp14:pctWidth>0</wp14:pctWidth>
            </wp14:sizeRelH>
            <wp14:sizeRelV relativeFrom="margin">
              <wp14:pctHeight>0</wp14:pctHeight>
            </wp14:sizeRelV>
          </wp:anchor>
        </w:drawing>
      </w:r>
      <w:r w:rsidR="00000000" w:rsidRPr="0040309B">
        <w:rPr>
          <w:b/>
          <w:color w:val="000000"/>
          <w:sz w:val="22"/>
          <w:szCs w:val="22"/>
        </w:rPr>
        <w:t xml:space="preserve">Supplementary Figure </w:t>
      </w:r>
      <w:r w:rsidR="00532236" w:rsidRPr="0040309B">
        <w:rPr>
          <w:b/>
          <w:color w:val="000000"/>
          <w:sz w:val="22"/>
          <w:szCs w:val="22"/>
        </w:rPr>
        <w:t>9</w:t>
      </w:r>
      <w:r w:rsidR="00000000" w:rsidRPr="0040309B">
        <w:rPr>
          <w:b/>
          <w:color w:val="000000"/>
          <w:sz w:val="22"/>
          <w:szCs w:val="22"/>
        </w:rPr>
        <w:t xml:space="preserve"> Original images of Western Blot membranes. A</w:t>
      </w:r>
      <w:r w:rsidR="00000000" w:rsidRPr="0040309B">
        <w:rPr>
          <w:color w:val="000000"/>
          <w:sz w:val="22"/>
          <w:szCs w:val="22"/>
        </w:rPr>
        <w:t xml:space="preserve">) Original Western Blot membrane images from samples of different passages (P32, P35 and P41) derived from untreated WT KGN cells with TRPV2 bands. </w:t>
      </w:r>
      <w:r w:rsidR="00000000" w:rsidRPr="0040309B">
        <w:rPr>
          <w:b/>
          <w:color w:val="000000"/>
          <w:sz w:val="22"/>
          <w:szCs w:val="22"/>
        </w:rPr>
        <w:t>B</w:t>
      </w:r>
      <w:r w:rsidR="00000000" w:rsidRPr="0040309B">
        <w:rPr>
          <w:color w:val="000000"/>
          <w:sz w:val="22"/>
          <w:szCs w:val="22"/>
        </w:rPr>
        <w:t>) </w:t>
      </w:r>
      <w:r w:rsidR="00EE3904" w:rsidRPr="0040309B">
        <w:rPr>
          <w:color w:val="000000"/>
          <w:sz w:val="22"/>
          <w:szCs w:val="22"/>
        </w:rPr>
        <w:t xml:space="preserve">Original Western Blot membrane images with samples of WT KGN cells treated with solvent control EtOH or 11 µM CBD for 6 h (n = 3 replicates, each) with </w:t>
      </w:r>
      <w:r w:rsidR="00EE3904">
        <w:rPr>
          <w:color w:val="000000"/>
          <w:sz w:val="22"/>
          <w:szCs w:val="22"/>
        </w:rPr>
        <w:t xml:space="preserve">initiator </w:t>
      </w:r>
      <w:r w:rsidR="00EE3904" w:rsidRPr="0040309B">
        <w:rPr>
          <w:color w:val="000000"/>
          <w:sz w:val="22"/>
          <w:szCs w:val="22"/>
        </w:rPr>
        <w:t>clCasp</w:t>
      </w:r>
      <w:r w:rsidR="00EE3904">
        <w:rPr>
          <w:color w:val="000000"/>
          <w:sz w:val="22"/>
          <w:szCs w:val="22"/>
        </w:rPr>
        <w:t>8</w:t>
      </w:r>
      <w:r w:rsidR="00EE3904" w:rsidRPr="0040309B">
        <w:rPr>
          <w:color w:val="000000"/>
          <w:sz w:val="22"/>
          <w:szCs w:val="22"/>
        </w:rPr>
        <w:t xml:space="preserve">. </w:t>
      </w:r>
      <w:r w:rsidR="00EE3904" w:rsidRPr="0040309B">
        <w:rPr>
          <w:b/>
          <w:color w:val="000000"/>
          <w:sz w:val="22"/>
          <w:szCs w:val="22"/>
        </w:rPr>
        <w:t>C</w:t>
      </w:r>
      <w:r w:rsidR="00EE3904" w:rsidRPr="0040309B">
        <w:rPr>
          <w:color w:val="000000"/>
          <w:sz w:val="22"/>
          <w:szCs w:val="22"/>
        </w:rPr>
        <w:t xml:space="preserve">) Original Western Blot membrane images with samples of WT KGN cells treated with solvent control EtOH or 11 µM CBD for 6 h (n = 3 replicates, each) with </w:t>
      </w:r>
      <w:r w:rsidR="00EE3904">
        <w:rPr>
          <w:color w:val="000000"/>
          <w:sz w:val="22"/>
          <w:szCs w:val="22"/>
        </w:rPr>
        <w:t xml:space="preserve">effector </w:t>
      </w:r>
      <w:r w:rsidR="00EE3904" w:rsidRPr="0040309B">
        <w:rPr>
          <w:color w:val="000000"/>
          <w:sz w:val="22"/>
          <w:szCs w:val="22"/>
        </w:rPr>
        <w:t>clCasp</w:t>
      </w:r>
      <w:r w:rsidR="00EE3904">
        <w:rPr>
          <w:color w:val="000000"/>
          <w:sz w:val="22"/>
          <w:szCs w:val="22"/>
        </w:rPr>
        <w:t>3</w:t>
      </w:r>
      <w:r w:rsidR="00EE3904" w:rsidRPr="0040309B">
        <w:rPr>
          <w:color w:val="000000"/>
          <w:sz w:val="22"/>
          <w:szCs w:val="22"/>
        </w:rPr>
        <w:t xml:space="preserve">. </w:t>
      </w:r>
      <w:r w:rsidR="00000000" w:rsidRPr="0040309B">
        <w:rPr>
          <w:b/>
          <w:color w:val="000000"/>
          <w:sz w:val="22"/>
          <w:szCs w:val="22"/>
        </w:rPr>
        <w:t>D</w:t>
      </w:r>
      <w:r w:rsidR="00000000" w:rsidRPr="0040309B">
        <w:rPr>
          <w:color w:val="000000"/>
          <w:sz w:val="22"/>
          <w:szCs w:val="22"/>
        </w:rPr>
        <w:t xml:space="preserve">) Original Western Blot membrane images with samples of different passages (P32, P35 and P41) of untreated WT KGN cells and primary </w:t>
      </w:r>
      <w:proofErr w:type="spellStart"/>
      <w:r w:rsidR="00000000" w:rsidRPr="0040309B">
        <w:rPr>
          <w:color w:val="000000"/>
          <w:sz w:val="22"/>
          <w:szCs w:val="22"/>
        </w:rPr>
        <w:t>hGCs</w:t>
      </w:r>
      <w:proofErr w:type="spellEnd"/>
      <w:r w:rsidR="00000000" w:rsidRPr="0040309B">
        <w:rPr>
          <w:color w:val="000000"/>
          <w:sz w:val="22"/>
          <w:szCs w:val="22"/>
        </w:rPr>
        <w:t xml:space="preserve"> with </w:t>
      </w:r>
      <w:r w:rsidR="00496781">
        <w:rPr>
          <w:color w:val="000000"/>
          <w:sz w:val="22"/>
          <w:szCs w:val="22"/>
        </w:rPr>
        <w:t xml:space="preserve">a </w:t>
      </w:r>
      <w:r w:rsidR="00000000" w:rsidRPr="0040309B">
        <w:rPr>
          <w:color w:val="000000"/>
          <w:sz w:val="22"/>
          <w:szCs w:val="22"/>
        </w:rPr>
        <w:t>VDAC</w:t>
      </w:r>
      <w:r w:rsidR="00496781">
        <w:rPr>
          <w:color w:val="000000"/>
          <w:sz w:val="22"/>
          <w:szCs w:val="22"/>
        </w:rPr>
        <w:t>1</w:t>
      </w:r>
      <w:r>
        <w:rPr>
          <w:color w:val="000000"/>
          <w:sz w:val="22"/>
          <w:szCs w:val="22"/>
        </w:rPr>
        <w:t>*</w:t>
      </w:r>
      <w:r w:rsidR="00496781">
        <w:rPr>
          <w:color w:val="000000"/>
          <w:sz w:val="22"/>
          <w:szCs w:val="22"/>
        </w:rPr>
        <w:t xml:space="preserve"> antibody</w:t>
      </w:r>
      <w:r w:rsidR="00000000" w:rsidRPr="0040309B">
        <w:rPr>
          <w:color w:val="000000"/>
          <w:sz w:val="22"/>
          <w:szCs w:val="22"/>
        </w:rPr>
        <w:t xml:space="preserve">. </w:t>
      </w:r>
      <w:r w:rsidR="00496781">
        <w:rPr>
          <w:color w:val="000000"/>
          <w:sz w:val="22"/>
          <w:szCs w:val="22"/>
        </w:rPr>
        <w:t xml:space="preserve">Detection of </w:t>
      </w:r>
      <w:r w:rsidR="00000000" w:rsidRPr="0040309B">
        <w:rPr>
          <w:color w:val="000000"/>
          <w:sz w:val="22"/>
          <w:szCs w:val="22"/>
        </w:rPr>
        <w:t>β-Actin served as internal loading control. Any bands shown in the manuscript are boxed in black and the corresponding figure is stated in the header.</w:t>
      </w:r>
    </w:p>
    <w:sdt>
      <w:sdtPr>
        <w:tag w:val="goog_rdk_45"/>
        <w:id w:val="1814910975"/>
      </w:sdtPr>
      <w:sdtContent>
        <w:p w14:paraId="411F15C5" w14:textId="7EE11CDF" w:rsidR="00DD01E5" w:rsidRPr="0040309B" w:rsidRDefault="00000000">
          <w:pPr>
            <w:spacing w:line="360" w:lineRule="auto"/>
            <w:jc w:val="both"/>
            <w:rPr>
              <w:color w:val="000000"/>
              <w:sz w:val="22"/>
              <w:szCs w:val="22"/>
            </w:rPr>
          </w:pPr>
          <w:sdt>
            <w:sdtPr>
              <w:tag w:val="goog_rdk_44"/>
              <w:id w:val="1867316888"/>
            </w:sdtPr>
            <w:sdtContent/>
          </w:sdt>
        </w:p>
      </w:sdtContent>
    </w:sdt>
    <w:sdt>
      <w:sdtPr>
        <w:tag w:val="goog_rdk_47"/>
        <w:id w:val="-1615135049"/>
        <w:showingPlcHdr/>
      </w:sdtPr>
      <w:sdtEndPr>
        <w:rPr>
          <w:color w:val="000000"/>
          <w:sz w:val="22"/>
          <w:szCs w:val="22"/>
        </w:rPr>
      </w:sdtEndPr>
      <w:sdtContent>
        <w:p w14:paraId="555D8378" w14:textId="7031EEF2" w:rsidR="00DD01E5" w:rsidRPr="0040309B" w:rsidRDefault="00154A81" w:rsidP="00154A81">
          <w:pPr>
            <w:spacing w:line="360" w:lineRule="auto"/>
            <w:jc w:val="both"/>
            <w:rPr>
              <w:color w:val="000000"/>
              <w:sz w:val="22"/>
              <w:szCs w:val="22"/>
            </w:rPr>
          </w:pPr>
          <w:r>
            <w:t xml:space="preserve">     </w:t>
          </w:r>
        </w:p>
      </w:sdtContent>
    </w:sdt>
    <w:p w14:paraId="7F89708D" w14:textId="77777777" w:rsidR="00DD01E5" w:rsidRPr="0040309B" w:rsidRDefault="00DD01E5">
      <w:pPr>
        <w:spacing w:line="360" w:lineRule="auto"/>
        <w:jc w:val="both"/>
        <w:rPr>
          <w:color w:val="000000"/>
          <w:sz w:val="22"/>
          <w:szCs w:val="22"/>
        </w:rPr>
      </w:pPr>
    </w:p>
    <w:p w14:paraId="52E78360" w14:textId="77777777" w:rsidR="00154A81" w:rsidRDefault="00154A81">
      <w:pPr>
        <w:rPr>
          <w:b/>
          <w:color w:val="000000"/>
          <w:sz w:val="22"/>
          <w:szCs w:val="22"/>
          <w:u w:val="single"/>
        </w:rPr>
      </w:pPr>
      <w:r>
        <w:rPr>
          <w:b/>
          <w:color w:val="000000"/>
          <w:sz w:val="22"/>
          <w:szCs w:val="22"/>
          <w:u w:val="single"/>
        </w:rPr>
        <w:br w:type="page"/>
      </w:r>
    </w:p>
    <w:p w14:paraId="56AFC8E2" w14:textId="46A8C056" w:rsidR="00DD01E5" w:rsidRPr="0040309B" w:rsidRDefault="00000000">
      <w:pPr>
        <w:spacing w:line="360" w:lineRule="auto"/>
        <w:jc w:val="both"/>
        <w:rPr>
          <w:b/>
          <w:color w:val="000000"/>
          <w:sz w:val="22"/>
          <w:szCs w:val="22"/>
          <w:u w:val="single"/>
        </w:rPr>
      </w:pPr>
      <w:r w:rsidRPr="0040309B">
        <w:rPr>
          <w:b/>
          <w:color w:val="000000"/>
          <w:sz w:val="22"/>
          <w:szCs w:val="22"/>
          <w:u w:val="single"/>
        </w:rPr>
        <w:lastRenderedPageBreak/>
        <w:t>Supplementary Information</w:t>
      </w:r>
    </w:p>
    <w:sdt>
      <w:sdtPr>
        <w:tag w:val="goog_rdk_68"/>
        <w:id w:val="1570615334"/>
      </w:sdtPr>
      <w:sdtContent>
        <w:p w14:paraId="30BA6317" w14:textId="202247BA" w:rsidR="00DD01E5" w:rsidRPr="0040309B" w:rsidRDefault="00000000">
          <w:pPr>
            <w:spacing w:line="360" w:lineRule="auto"/>
            <w:jc w:val="both"/>
            <w:rPr>
              <w:color w:val="000000"/>
              <w:sz w:val="22"/>
              <w:szCs w:val="22"/>
            </w:rPr>
          </w:pPr>
          <w:sdt>
            <w:sdtPr>
              <w:tag w:val="goog_rdk_67"/>
              <w:id w:val="-1800686875"/>
            </w:sdtPr>
            <w:sdtContent/>
          </w:sdt>
        </w:p>
      </w:sdtContent>
    </w:sdt>
    <w:p w14:paraId="79782CCA" w14:textId="77777777" w:rsidR="009F436D" w:rsidRPr="0040309B" w:rsidRDefault="009F436D">
      <w:pPr>
        <w:spacing w:line="360" w:lineRule="auto"/>
        <w:jc w:val="both"/>
      </w:pPr>
      <w:r w:rsidRPr="0040309B">
        <w:rPr>
          <w:b/>
          <w:color w:val="000000"/>
          <w:sz w:val="22"/>
          <w:szCs w:val="22"/>
        </w:rPr>
        <w:t>Mass Spectrometry of IP Samples</w:t>
      </w:r>
    </w:p>
    <w:p w14:paraId="125B2D82" w14:textId="232770B6" w:rsidR="00DD01E5" w:rsidRPr="0040309B" w:rsidRDefault="00000000">
      <w:pPr>
        <w:spacing w:line="360" w:lineRule="auto"/>
        <w:jc w:val="both"/>
        <w:rPr>
          <w:b/>
          <w:color w:val="000000"/>
          <w:sz w:val="22"/>
          <w:szCs w:val="22"/>
        </w:rPr>
      </w:pPr>
      <w:r w:rsidRPr="0040309B">
        <w:rPr>
          <w:color w:val="000000"/>
          <w:sz w:val="22"/>
          <w:szCs w:val="22"/>
        </w:rPr>
        <w:t>For digestion, 500 ng modified porcine trypsin (Promega) in 100 µl 1 M urea/50 mM NH</w:t>
      </w:r>
      <w:r w:rsidRPr="0040309B">
        <w:rPr>
          <w:color w:val="000000"/>
          <w:sz w:val="22"/>
          <w:szCs w:val="22"/>
          <w:vertAlign w:val="subscript"/>
        </w:rPr>
        <w:t>4</w:t>
      </w:r>
      <w:r w:rsidRPr="0040309B">
        <w:rPr>
          <w:color w:val="000000"/>
          <w:sz w:val="22"/>
          <w:szCs w:val="22"/>
        </w:rPr>
        <w:t>HCO</w:t>
      </w:r>
      <w:r w:rsidRPr="0040309B">
        <w:rPr>
          <w:color w:val="000000"/>
          <w:sz w:val="22"/>
          <w:szCs w:val="22"/>
          <w:vertAlign w:val="subscript"/>
        </w:rPr>
        <w:t>3</w:t>
      </w:r>
      <w:r w:rsidRPr="0040309B">
        <w:rPr>
          <w:color w:val="000000"/>
          <w:sz w:val="22"/>
          <w:szCs w:val="22"/>
        </w:rPr>
        <w:t xml:space="preserve"> was added to the beads and shaken overnight at 37°C. The supernatant was collected and the peptides were extracted from the beads twice with 50 mM NH</w:t>
      </w:r>
      <w:r w:rsidRPr="0040309B">
        <w:rPr>
          <w:color w:val="000000"/>
          <w:sz w:val="22"/>
          <w:szCs w:val="22"/>
          <w:vertAlign w:val="subscript"/>
        </w:rPr>
        <w:t>4</w:t>
      </w:r>
      <w:r w:rsidRPr="0040309B">
        <w:rPr>
          <w:color w:val="000000"/>
          <w:sz w:val="22"/>
          <w:szCs w:val="22"/>
        </w:rPr>
        <w:t>HCO</w:t>
      </w:r>
      <w:r w:rsidRPr="0040309B">
        <w:rPr>
          <w:color w:val="000000"/>
          <w:sz w:val="22"/>
          <w:szCs w:val="22"/>
          <w:vertAlign w:val="subscript"/>
        </w:rPr>
        <w:t>3</w:t>
      </w:r>
      <w:r w:rsidRPr="0040309B">
        <w:rPr>
          <w:color w:val="000000"/>
          <w:sz w:val="22"/>
          <w:szCs w:val="22"/>
        </w:rPr>
        <w:t>. Cysteine residues were reduced with 1 mM 1,4-dithiothreitol for 10 min at 25°C, and alkylated for 30 min with iodoacetamide at 1.35 </w:t>
      </w:r>
      <w:proofErr w:type="spellStart"/>
      <w:r w:rsidRPr="0040309B">
        <w:rPr>
          <w:color w:val="000000"/>
          <w:sz w:val="22"/>
          <w:szCs w:val="22"/>
        </w:rPr>
        <w:t>mM.</w:t>
      </w:r>
      <w:proofErr w:type="spellEnd"/>
      <w:r w:rsidRPr="0040309B">
        <w:rPr>
          <w:color w:val="000000"/>
          <w:sz w:val="22"/>
          <w:szCs w:val="22"/>
        </w:rPr>
        <w:t xml:space="preserve"> To stop trypsinization, trifluoroacetic acid was added to give a final concentration of 1.25%, and samples were dried in a vacuum centrifuge concentrator. Liquid chromatography-tandem mass spectrometry (LC-MS/MS) analysis was performed with an </w:t>
      </w:r>
      <w:proofErr w:type="spellStart"/>
      <w:r w:rsidRPr="0040309B">
        <w:rPr>
          <w:color w:val="000000"/>
          <w:sz w:val="22"/>
          <w:szCs w:val="22"/>
        </w:rPr>
        <w:t>UltiMate</w:t>
      </w:r>
      <w:proofErr w:type="spellEnd"/>
      <w:r w:rsidRPr="0040309B">
        <w:rPr>
          <w:color w:val="000000"/>
          <w:sz w:val="22"/>
          <w:szCs w:val="22"/>
        </w:rPr>
        <w:t xml:space="preserve"> 3000 nano-LC system online coupled to a Q </w:t>
      </w:r>
      <w:proofErr w:type="spellStart"/>
      <w:r w:rsidRPr="0040309B">
        <w:rPr>
          <w:color w:val="000000"/>
          <w:sz w:val="22"/>
          <w:szCs w:val="22"/>
        </w:rPr>
        <w:t>Exactive</w:t>
      </w:r>
      <w:proofErr w:type="spellEnd"/>
      <w:r w:rsidRPr="0040309B">
        <w:rPr>
          <w:color w:val="000000"/>
          <w:sz w:val="22"/>
          <w:szCs w:val="22"/>
        </w:rPr>
        <w:t xml:space="preserve"> HF-X Orbitrap mass spectrometer (</w:t>
      </w:r>
      <w:proofErr w:type="spellStart"/>
      <w:r w:rsidRPr="0040309B">
        <w:rPr>
          <w:color w:val="000000"/>
          <w:sz w:val="22"/>
          <w:szCs w:val="22"/>
        </w:rPr>
        <w:t>Thermo</w:t>
      </w:r>
      <w:proofErr w:type="spellEnd"/>
      <w:r w:rsidRPr="0040309B">
        <w:rPr>
          <w:color w:val="000000"/>
          <w:sz w:val="22"/>
          <w:szCs w:val="22"/>
        </w:rPr>
        <w:t xml:space="preserve"> Fisher Scientific). LC-separation was conducted at 250 </w:t>
      </w:r>
      <w:proofErr w:type="spellStart"/>
      <w:r w:rsidRPr="0040309B">
        <w:rPr>
          <w:color w:val="000000"/>
          <w:sz w:val="22"/>
          <w:szCs w:val="22"/>
        </w:rPr>
        <w:t>nl</w:t>
      </w:r>
      <w:proofErr w:type="spellEnd"/>
      <w:r w:rsidRPr="0040309B">
        <w:rPr>
          <w:color w:val="000000"/>
          <w:sz w:val="22"/>
          <w:szCs w:val="22"/>
        </w:rPr>
        <w:t>/min on an EASY-spray column (</w:t>
      </w:r>
      <w:proofErr w:type="spellStart"/>
      <w:r w:rsidRPr="0040309B">
        <w:rPr>
          <w:color w:val="000000"/>
          <w:sz w:val="22"/>
          <w:szCs w:val="22"/>
        </w:rPr>
        <w:t>Pepmap</w:t>
      </w:r>
      <w:proofErr w:type="spellEnd"/>
      <w:r w:rsidRPr="0040309B">
        <w:rPr>
          <w:color w:val="000000"/>
          <w:sz w:val="22"/>
          <w:szCs w:val="22"/>
        </w:rPr>
        <w:t>™ RSLC, 75 </w:t>
      </w:r>
      <w:proofErr w:type="spellStart"/>
      <w:r w:rsidRPr="0040309B">
        <w:rPr>
          <w:color w:val="000000"/>
          <w:sz w:val="22"/>
          <w:szCs w:val="22"/>
        </w:rPr>
        <w:t>μm</w:t>
      </w:r>
      <w:proofErr w:type="spellEnd"/>
      <w:r w:rsidRPr="0040309B">
        <w:rPr>
          <w:color w:val="000000"/>
          <w:sz w:val="22"/>
          <w:szCs w:val="22"/>
        </w:rPr>
        <w:t xml:space="preserve"> × 50 cm, C18, 2 </w:t>
      </w:r>
      <w:proofErr w:type="spellStart"/>
      <w:r w:rsidRPr="0040309B">
        <w:rPr>
          <w:color w:val="000000"/>
          <w:sz w:val="22"/>
          <w:szCs w:val="22"/>
        </w:rPr>
        <w:t>μm</w:t>
      </w:r>
      <w:proofErr w:type="spellEnd"/>
      <w:r w:rsidRPr="0040309B">
        <w:rPr>
          <w:color w:val="000000"/>
          <w:sz w:val="22"/>
          <w:szCs w:val="22"/>
        </w:rPr>
        <w:t xml:space="preserve">, </w:t>
      </w:r>
      <w:proofErr w:type="spellStart"/>
      <w:r w:rsidRPr="0040309B">
        <w:rPr>
          <w:color w:val="000000"/>
          <w:sz w:val="22"/>
          <w:szCs w:val="22"/>
        </w:rPr>
        <w:t>Thermo</w:t>
      </w:r>
      <w:proofErr w:type="spellEnd"/>
      <w:r w:rsidRPr="0040309B">
        <w:rPr>
          <w:color w:val="000000"/>
          <w:sz w:val="22"/>
          <w:szCs w:val="22"/>
        </w:rPr>
        <w:t xml:space="preserve"> Fisher Scientific). Solvent A comprised 0.1% FA in water. A two-step gradient from 3% to 25% B (0.1% FA in acetonitrile) over 30 min, followed by a ramp to 40% B in 5 min, was applied. Data were collected in data-dependent acquisition mode with a top 15 method. Raw files were processed using </w:t>
      </w:r>
      <w:proofErr w:type="spellStart"/>
      <w:r w:rsidRPr="0040309B">
        <w:rPr>
          <w:color w:val="000000"/>
          <w:sz w:val="22"/>
          <w:szCs w:val="22"/>
        </w:rPr>
        <w:t>MaxQuant</w:t>
      </w:r>
      <w:proofErr w:type="spellEnd"/>
      <w:r w:rsidRPr="0040309B">
        <w:rPr>
          <w:color w:val="000000"/>
          <w:sz w:val="22"/>
          <w:szCs w:val="22"/>
        </w:rPr>
        <w:t xml:space="preserve"> (1.6.11.0) with label-free quantification enabled and the Homo Sapiens subset of the Swiss-Prot database.</w:t>
      </w:r>
    </w:p>
    <w:p w14:paraId="4EED8BE6" w14:textId="77777777" w:rsidR="00DD01E5" w:rsidRPr="0040309B" w:rsidRDefault="00DD01E5">
      <w:pPr>
        <w:spacing w:line="360" w:lineRule="auto"/>
        <w:jc w:val="both"/>
        <w:rPr>
          <w:b/>
          <w:color w:val="000000"/>
          <w:sz w:val="22"/>
          <w:szCs w:val="22"/>
          <w:u w:val="single"/>
        </w:rPr>
      </w:pPr>
    </w:p>
    <w:p w14:paraId="0A1CCED3" w14:textId="77777777" w:rsidR="00DD01E5" w:rsidRPr="0040309B" w:rsidRDefault="00000000">
      <w:pPr>
        <w:spacing w:line="360" w:lineRule="auto"/>
        <w:jc w:val="both"/>
        <w:rPr>
          <w:b/>
          <w:color w:val="000000"/>
          <w:sz w:val="22"/>
          <w:szCs w:val="22"/>
        </w:rPr>
      </w:pPr>
      <w:r w:rsidRPr="0040309B">
        <w:rPr>
          <w:b/>
          <w:color w:val="000000"/>
          <w:sz w:val="22"/>
          <w:szCs w:val="22"/>
        </w:rPr>
        <w:t>Proteome Analysis of Whole Cell Lysates</w:t>
      </w:r>
    </w:p>
    <w:p w14:paraId="0E372715" w14:textId="77777777" w:rsidR="00DD01E5" w:rsidRPr="0040309B" w:rsidRDefault="00000000">
      <w:pPr>
        <w:spacing w:line="360" w:lineRule="auto"/>
        <w:jc w:val="both"/>
        <w:rPr>
          <w:color w:val="000000"/>
          <w:sz w:val="22"/>
          <w:szCs w:val="22"/>
        </w:rPr>
      </w:pPr>
      <w:r w:rsidRPr="0040309B">
        <w:rPr>
          <w:color w:val="000000"/>
          <w:sz w:val="22"/>
          <w:szCs w:val="22"/>
        </w:rPr>
        <w:t>For mass spectrometry analysis of whole cell lysates, 1 x 10</w:t>
      </w:r>
      <w:r w:rsidRPr="0040309B">
        <w:rPr>
          <w:color w:val="000000"/>
          <w:sz w:val="22"/>
          <w:szCs w:val="22"/>
          <w:vertAlign w:val="superscript"/>
        </w:rPr>
        <w:t>6</w:t>
      </w:r>
      <w:r w:rsidRPr="0040309B">
        <w:rPr>
          <w:color w:val="000000"/>
          <w:sz w:val="22"/>
          <w:szCs w:val="22"/>
        </w:rPr>
        <w:t xml:space="preserve"> cells were lysed by ultrasonication for 15 min in 8 M urea/0.5 M NH</w:t>
      </w:r>
      <w:r w:rsidRPr="0040309B">
        <w:rPr>
          <w:color w:val="000000"/>
          <w:sz w:val="22"/>
          <w:szCs w:val="22"/>
          <w:vertAlign w:val="subscript"/>
        </w:rPr>
        <w:t>4</w:t>
      </w:r>
      <w:r w:rsidRPr="0040309B">
        <w:rPr>
          <w:color w:val="000000"/>
          <w:sz w:val="22"/>
          <w:szCs w:val="22"/>
        </w:rPr>
        <w:t>HCO</w:t>
      </w:r>
      <w:r w:rsidRPr="0040309B">
        <w:rPr>
          <w:color w:val="000000"/>
          <w:sz w:val="22"/>
          <w:szCs w:val="22"/>
          <w:vertAlign w:val="subscript"/>
        </w:rPr>
        <w:t>3</w:t>
      </w:r>
      <w:r w:rsidRPr="0040309B">
        <w:rPr>
          <w:color w:val="000000"/>
          <w:sz w:val="22"/>
          <w:szCs w:val="22"/>
        </w:rPr>
        <w:t xml:space="preserve">, and homogenized through </w:t>
      </w:r>
      <w:proofErr w:type="spellStart"/>
      <w:r w:rsidRPr="0040309B">
        <w:rPr>
          <w:color w:val="000000"/>
          <w:sz w:val="22"/>
          <w:szCs w:val="22"/>
        </w:rPr>
        <w:t>QIAshredder</w:t>
      </w:r>
      <w:proofErr w:type="spellEnd"/>
      <w:r w:rsidRPr="0040309B">
        <w:rPr>
          <w:color w:val="000000"/>
          <w:sz w:val="22"/>
          <w:szCs w:val="22"/>
        </w:rPr>
        <w:t xml:space="preserve"> devices (Qiagen). Protein contents were quantified using the Pierce 660 nm Protein Assay (</w:t>
      </w:r>
      <w:proofErr w:type="spellStart"/>
      <w:r w:rsidRPr="0040309B">
        <w:rPr>
          <w:color w:val="000000"/>
          <w:sz w:val="22"/>
          <w:szCs w:val="22"/>
        </w:rPr>
        <w:t>Thermo</w:t>
      </w:r>
      <w:proofErr w:type="spellEnd"/>
      <w:r w:rsidRPr="0040309B">
        <w:rPr>
          <w:color w:val="000000"/>
          <w:sz w:val="22"/>
          <w:szCs w:val="22"/>
        </w:rPr>
        <w:t xml:space="preserve"> Fisher Scientific). Disulfide bonds were reduced at 5 mM dithiothreitol for 30 min at 56 °C and alkylated at 15 mM iodoacetamide for 30 min at room temperature. Excess iodoacetamide was quenched with 1 mM dithiothreitol. Two step digestion was performed with Lys-C (FUJIFILM Wako Chemicals Europe GmbH, Neuss, Germany) for 4 h (1:100 enzyme to protein ratio) and then with modified porcine trypsin (Promega) for 16 h at 37°C (1:50 enzyme to protein ratio). Prior to trypsinization, samples were diluted with 50 mM NH</w:t>
      </w:r>
      <w:r w:rsidRPr="0040309B">
        <w:rPr>
          <w:color w:val="000000"/>
          <w:sz w:val="22"/>
          <w:szCs w:val="22"/>
          <w:vertAlign w:val="subscript"/>
        </w:rPr>
        <w:t>4</w:t>
      </w:r>
      <w:r w:rsidRPr="0040309B">
        <w:rPr>
          <w:color w:val="000000"/>
          <w:sz w:val="22"/>
          <w:szCs w:val="22"/>
        </w:rPr>
        <w:t>HCO</w:t>
      </w:r>
      <w:r w:rsidRPr="0040309B">
        <w:rPr>
          <w:color w:val="000000"/>
          <w:sz w:val="22"/>
          <w:szCs w:val="22"/>
          <w:vertAlign w:val="subscript"/>
        </w:rPr>
        <w:t xml:space="preserve">3 </w:t>
      </w:r>
      <w:r w:rsidRPr="0040309B">
        <w:rPr>
          <w:color w:val="000000"/>
          <w:sz w:val="22"/>
          <w:szCs w:val="22"/>
        </w:rPr>
        <w:t xml:space="preserve">to obtain 1 M urea. LC-MS/MS was performed with the same analytical setup as for the IP samples. The chromatography method included an 80-min gradient of 5–20% of solvent B followed by a 9 min increase to 40% and a 9 min step with 85% solvent B. MS acquisition was performed with a data independent acquisition method with 50 × 12 m/z-wide staggered windows (400–1000 m/z, 15,000 resolution, NCE 27). The main output file from DIA-NN, containing precursor-level data, was subsequently analyzed with the </w:t>
      </w:r>
      <w:proofErr w:type="spellStart"/>
      <w:r w:rsidRPr="0040309B">
        <w:rPr>
          <w:color w:val="000000"/>
          <w:sz w:val="22"/>
          <w:szCs w:val="22"/>
        </w:rPr>
        <w:t>pepquantify</w:t>
      </w:r>
      <w:proofErr w:type="spellEnd"/>
      <w:r w:rsidRPr="0040309B">
        <w:rPr>
          <w:color w:val="000000"/>
          <w:sz w:val="22"/>
          <w:szCs w:val="22"/>
        </w:rPr>
        <w:t xml:space="preserve"> R-package (</w:t>
      </w:r>
      <w:r w:rsidR="009F436D" w:rsidRPr="0040309B">
        <w:rPr>
          <w:color w:val="000000"/>
          <w:sz w:val="22"/>
          <w:szCs w:val="22"/>
        </w:rPr>
        <w:t xml:space="preserve">https://github.com/bshashikadze/ </w:t>
      </w:r>
      <w:proofErr w:type="spellStart"/>
      <w:r w:rsidRPr="0040309B">
        <w:rPr>
          <w:color w:val="000000"/>
          <w:sz w:val="22"/>
          <w:szCs w:val="22"/>
        </w:rPr>
        <w:t>pepquantify</w:t>
      </w:r>
      <w:proofErr w:type="spellEnd"/>
      <w:r w:rsidRPr="0040309B">
        <w:rPr>
          <w:color w:val="000000"/>
          <w:sz w:val="22"/>
          <w:szCs w:val="22"/>
        </w:rPr>
        <w:t>). This involved filtering for a 1% false-discovery rate as well as removal of potential contaminants, non-</w:t>
      </w:r>
      <w:proofErr w:type="spellStart"/>
      <w:r w:rsidRPr="0040309B">
        <w:rPr>
          <w:color w:val="000000"/>
          <w:sz w:val="22"/>
          <w:szCs w:val="22"/>
        </w:rPr>
        <w:t>proteotypic</w:t>
      </w:r>
      <w:proofErr w:type="spellEnd"/>
      <w:r w:rsidRPr="0040309B">
        <w:rPr>
          <w:color w:val="000000"/>
          <w:sz w:val="22"/>
          <w:szCs w:val="22"/>
        </w:rPr>
        <w:t xml:space="preserve"> peptides, and peptides with low signal quality. Proteins were filtered </w:t>
      </w:r>
      <w:r w:rsidRPr="0040309B">
        <w:rPr>
          <w:color w:val="000000"/>
          <w:sz w:val="22"/>
          <w:szCs w:val="22"/>
        </w:rPr>
        <w:lastRenderedPageBreak/>
        <w:t>for at least 70% valid quantitative values in all samples. Data imputation of missing values was carried out using Perseus (v2.0.10.0). Significantly altered proteins were detected using a two-sample Student´s t-test with a significance cut-off (s0 = 0.1, FDR &lt;</w:t>
      </w:r>
      <w:r w:rsidRPr="0040309B">
        <w:rPr>
          <w:color w:val="000000"/>
        </w:rPr>
        <w:t> </w:t>
      </w:r>
      <w:r w:rsidRPr="0040309B">
        <w:rPr>
          <w:color w:val="000000"/>
          <w:sz w:val="22"/>
          <w:szCs w:val="22"/>
        </w:rPr>
        <w:t xml:space="preserve">0.05). </w:t>
      </w:r>
    </w:p>
    <w:sdt>
      <w:sdtPr>
        <w:tag w:val="goog_rdk_83"/>
        <w:id w:val="-235635983"/>
      </w:sdtPr>
      <w:sdtContent>
        <w:p w14:paraId="74E30D78" w14:textId="77777777" w:rsidR="00DD01E5" w:rsidRDefault="00000000">
          <w:pPr>
            <w:spacing w:line="360" w:lineRule="auto"/>
            <w:jc w:val="both"/>
            <w:rPr>
              <w:color w:val="000000"/>
              <w:sz w:val="22"/>
              <w:szCs w:val="22"/>
            </w:rPr>
          </w:pPr>
          <w:sdt>
            <w:sdtPr>
              <w:tag w:val="goog_rdk_82"/>
              <w:id w:val="-490567245"/>
            </w:sdtPr>
            <w:sdtContent/>
          </w:sdt>
        </w:p>
      </w:sdtContent>
    </w:sdt>
    <w:p w14:paraId="4588A151" w14:textId="77777777" w:rsidR="00DD01E5" w:rsidRDefault="00DD01E5">
      <w:pPr>
        <w:spacing w:line="360" w:lineRule="auto"/>
        <w:jc w:val="both"/>
        <w:rPr>
          <w:color w:val="000000"/>
          <w:sz w:val="22"/>
          <w:szCs w:val="22"/>
        </w:rPr>
      </w:pPr>
    </w:p>
    <w:sectPr w:rsidR="00DD01E5">
      <w:footerReference w:type="even" r:id="rId19"/>
      <w:footerReference w:type="default" r:id="rId20"/>
      <w:pgSz w:w="11906" w:h="16838"/>
      <w:pgMar w:top="1417" w:right="1417" w:bottom="1134" w:left="1417" w:header="708" w:footer="708"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155F5D" w14:textId="77777777" w:rsidR="00A441CA" w:rsidRDefault="00A441CA">
      <w:r>
        <w:separator/>
      </w:r>
    </w:p>
  </w:endnote>
  <w:endnote w:type="continuationSeparator" w:id="0">
    <w:p w14:paraId="1C102BBC" w14:textId="77777777" w:rsidR="00A441CA" w:rsidRDefault="00A441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04A39C09-EFDD-7D48-90A9-89A456AF2AD3}"/>
    <w:embedBold r:id="rId2" w:fontKey="{DC91E55C-91E1-474C-9EFF-376E28C473A6}"/>
  </w:font>
  <w:font w:name="Calibri">
    <w:panose1 w:val="020F0502020204030204"/>
    <w:charset w:val="00"/>
    <w:family w:val="swiss"/>
    <w:pitch w:val="variable"/>
    <w:sig w:usb0="E0002AFF" w:usb1="C000247B" w:usb2="00000009" w:usb3="00000000" w:csb0="000001FF" w:csb1="00000000"/>
    <w:embedRegular r:id="rId3" w:fontKey="{7D6CE34E-3679-444E-B6C9-B041FD4C96D9}"/>
    <w:embedBold r:id="rId4" w:fontKey="{B9FA18E5-D55B-8841-BB57-B71DF0C02388}"/>
    <w:embedItalic r:id="rId5" w:fontKey="{4A0F53CD-BE25-BB48-AE7D-F4C7A2272831}"/>
  </w:font>
  <w:font w:name="Segoe UI">
    <w:panose1 w:val="020B0604020202020204"/>
    <w:charset w:val="00"/>
    <w:family w:val="swiss"/>
    <w:pitch w:val="variable"/>
    <w:sig w:usb0="E4002EFF" w:usb1="C000E47F" w:usb2="00000009" w:usb3="00000000" w:csb0="000001FF" w:csb1="00000000"/>
    <w:embedRegular r:id="rId6" w:fontKey="{ED8BF69D-A93A-EA40-9EE4-E3BF03958F18}"/>
  </w:font>
  <w:font w:name="Georgia">
    <w:panose1 w:val="02040502050405020303"/>
    <w:charset w:val="00"/>
    <w:family w:val="roman"/>
    <w:pitch w:val="variable"/>
    <w:sig w:usb0="00000287" w:usb1="00000000" w:usb2="00000000" w:usb3="00000000" w:csb0="0000009F" w:csb1="00000000"/>
    <w:embedRegular r:id="rId7" w:fontKey="{0C308477-4A2F-994F-9418-5A713A2095C8}"/>
    <w:embedItalic r:id="rId8" w:fontKey="{5E996112-4474-A542-8AC0-58316708E011}"/>
  </w:font>
  <w:font w:name="Calibri Light">
    <w:panose1 w:val="020F0302020204030204"/>
    <w:charset w:val="00"/>
    <w:family w:val="swiss"/>
    <w:pitch w:val="variable"/>
    <w:sig w:usb0="E0002AFF" w:usb1="C000247B" w:usb2="00000009" w:usb3="00000000" w:csb0="000001FF" w:csb1="00000000"/>
    <w:embedRegular r:id="rId9" w:fontKey="{5C8FC8C8-4EBA-484C-8875-3E172EF8063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2D1FE9" w14:textId="77777777" w:rsidR="00DD01E5" w:rsidRDefault="00000000">
    <w:pPr>
      <w:pBdr>
        <w:top w:val="nil"/>
        <w:left w:val="nil"/>
        <w:bottom w:val="nil"/>
        <w:right w:val="nil"/>
        <w:between w:val="nil"/>
      </w:pBdr>
      <w:tabs>
        <w:tab w:val="center" w:pos="4536"/>
        <w:tab w:val="right" w:pos="9072"/>
      </w:tabs>
      <w:jc w:val="right"/>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5F2E1220" w14:textId="77777777" w:rsidR="00DD01E5" w:rsidRDefault="00DD01E5">
    <w:pPr>
      <w:pBdr>
        <w:top w:val="nil"/>
        <w:left w:val="nil"/>
        <w:bottom w:val="nil"/>
        <w:right w:val="nil"/>
        <w:between w:val="nil"/>
      </w:pBdr>
      <w:tabs>
        <w:tab w:val="center" w:pos="4536"/>
        <w:tab w:val="right" w:pos="9072"/>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842E01" w14:textId="77777777" w:rsidR="00DD01E5" w:rsidRDefault="00000000">
    <w:pPr>
      <w:pBdr>
        <w:top w:val="nil"/>
        <w:left w:val="nil"/>
        <w:bottom w:val="nil"/>
        <w:right w:val="nil"/>
        <w:between w:val="nil"/>
      </w:pBdr>
      <w:tabs>
        <w:tab w:val="center" w:pos="4536"/>
        <w:tab w:val="right" w:pos="9072"/>
      </w:tabs>
      <w:jc w:val="right"/>
      <w:rPr>
        <w:color w:val="000000"/>
      </w:rPr>
    </w:pPr>
    <w:r>
      <w:rPr>
        <w:color w:val="000000"/>
      </w:rPr>
      <w:fldChar w:fldCharType="begin"/>
    </w:r>
    <w:r>
      <w:rPr>
        <w:color w:val="000000"/>
      </w:rPr>
      <w:instrText>PAGE</w:instrText>
    </w:r>
    <w:r>
      <w:rPr>
        <w:color w:val="000000"/>
      </w:rPr>
      <w:fldChar w:fldCharType="separate"/>
    </w:r>
    <w:r w:rsidR="00D37E62">
      <w:rPr>
        <w:noProof/>
        <w:color w:val="000000"/>
      </w:rPr>
      <w:t>2</w:t>
    </w:r>
    <w:r>
      <w:rPr>
        <w:color w:val="000000"/>
      </w:rPr>
      <w:fldChar w:fldCharType="end"/>
    </w:r>
  </w:p>
  <w:p w14:paraId="35E5BA40" w14:textId="77777777" w:rsidR="00DD01E5" w:rsidRDefault="00DD01E5">
    <w:pPr>
      <w:pBdr>
        <w:top w:val="nil"/>
        <w:left w:val="nil"/>
        <w:bottom w:val="nil"/>
        <w:right w:val="nil"/>
        <w:between w:val="nil"/>
      </w:pBdr>
      <w:tabs>
        <w:tab w:val="center" w:pos="4536"/>
        <w:tab w:val="right" w:pos="9072"/>
      </w:tabs>
      <w:ind w:right="36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03954A" w14:textId="77777777" w:rsidR="00A441CA" w:rsidRDefault="00A441CA">
      <w:r>
        <w:separator/>
      </w:r>
    </w:p>
  </w:footnote>
  <w:footnote w:type="continuationSeparator" w:id="0">
    <w:p w14:paraId="3A0A48E5" w14:textId="77777777" w:rsidR="00A441CA" w:rsidRDefault="00A441C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1F5B9E"/>
    <w:multiLevelType w:val="hybridMultilevel"/>
    <w:tmpl w:val="852C8528"/>
    <w:lvl w:ilvl="0" w:tplc="B5144FDE">
      <w:start w:val="1"/>
      <w:numFmt w:val="decimal"/>
      <w:lvlText w:val="%1."/>
      <w:lvlJc w:val="left"/>
      <w:pPr>
        <w:ind w:left="720" w:hanging="360"/>
      </w:pPr>
      <w:rPr>
        <w:b/>
        <w:bCs w:val="0"/>
        <w:sz w:val="20"/>
        <w:szCs w:val="2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1B0A7309"/>
    <w:multiLevelType w:val="hybridMultilevel"/>
    <w:tmpl w:val="E9089E5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5A1D6698"/>
    <w:multiLevelType w:val="hybridMultilevel"/>
    <w:tmpl w:val="0ECCEE8A"/>
    <w:lvl w:ilvl="0" w:tplc="BF268566">
      <w:start w:val="1"/>
      <w:numFmt w:val="upperLetter"/>
      <w:lvlText w:val="%1)"/>
      <w:lvlJc w:val="left"/>
      <w:pPr>
        <w:ind w:left="927" w:hanging="360"/>
      </w:pPr>
      <w:rPr>
        <w:rFonts w:ascii="Calibri" w:eastAsia="Calibri" w:hAnsi="Calibri" w:cs="Calibri"/>
        <w:b/>
        <w:bCs w:val="0"/>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3" w15:restartNumberingAfterBreak="0">
    <w:nsid w:val="5EEF3957"/>
    <w:multiLevelType w:val="hybridMultilevel"/>
    <w:tmpl w:val="D8B4F758"/>
    <w:lvl w:ilvl="0" w:tplc="BF268566">
      <w:start w:val="1"/>
      <w:numFmt w:val="upperLetter"/>
      <w:lvlText w:val="%1)"/>
      <w:lvlJc w:val="left"/>
      <w:pPr>
        <w:ind w:left="720" w:hanging="360"/>
      </w:pPr>
      <w:rPr>
        <w:rFonts w:ascii="Calibri" w:eastAsia="Calibri" w:hAnsi="Calibri" w:cs="Calibri"/>
        <w:b/>
        <w:bCs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66F80A96"/>
    <w:multiLevelType w:val="hybridMultilevel"/>
    <w:tmpl w:val="4E4C19DA"/>
    <w:lvl w:ilvl="0" w:tplc="40C2B662">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7C983660"/>
    <w:multiLevelType w:val="hybridMultilevel"/>
    <w:tmpl w:val="0D84D666"/>
    <w:lvl w:ilvl="0" w:tplc="7E3A1CDA">
      <w:start w:val="1"/>
      <w:numFmt w:val="upperLetter"/>
      <w:lvlText w:val="%1)"/>
      <w:lvlJc w:val="left"/>
      <w:pPr>
        <w:ind w:left="786" w:hanging="360"/>
      </w:pPr>
      <w:rPr>
        <w:rFonts w:ascii="Calibri" w:eastAsia="Calibri" w:hAnsi="Calibri" w:cs="Calibri"/>
      </w:rPr>
    </w:lvl>
    <w:lvl w:ilvl="1" w:tplc="04070019" w:tentative="1">
      <w:start w:val="1"/>
      <w:numFmt w:val="lowerLetter"/>
      <w:lvlText w:val="%2."/>
      <w:lvlJc w:val="left"/>
      <w:pPr>
        <w:ind w:left="1506" w:hanging="360"/>
      </w:pPr>
    </w:lvl>
    <w:lvl w:ilvl="2" w:tplc="0407001B" w:tentative="1">
      <w:start w:val="1"/>
      <w:numFmt w:val="lowerRoman"/>
      <w:lvlText w:val="%3."/>
      <w:lvlJc w:val="right"/>
      <w:pPr>
        <w:ind w:left="2226" w:hanging="180"/>
      </w:pPr>
    </w:lvl>
    <w:lvl w:ilvl="3" w:tplc="0407000F" w:tentative="1">
      <w:start w:val="1"/>
      <w:numFmt w:val="decimal"/>
      <w:lvlText w:val="%4."/>
      <w:lvlJc w:val="left"/>
      <w:pPr>
        <w:ind w:left="2946" w:hanging="360"/>
      </w:pPr>
    </w:lvl>
    <w:lvl w:ilvl="4" w:tplc="04070019" w:tentative="1">
      <w:start w:val="1"/>
      <w:numFmt w:val="lowerLetter"/>
      <w:lvlText w:val="%5."/>
      <w:lvlJc w:val="left"/>
      <w:pPr>
        <w:ind w:left="3666" w:hanging="360"/>
      </w:pPr>
    </w:lvl>
    <w:lvl w:ilvl="5" w:tplc="0407001B" w:tentative="1">
      <w:start w:val="1"/>
      <w:numFmt w:val="lowerRoman"/>
      <w:lvlText w:val="%6."/>
      <w:lvlJc w:val="right"/>
      <w:pPr>
        <w:ind w:left="4386" w:hanging="180"/>
      </w:pPr>
    </w:lvl>
    <w:lvl w:ilvl="6" w:tplc="0407000F" w:tentative="1">
      <w:start w:val="1"/>
      <w:numFmt w:val="decimal"/>
      <w:lvlText w:val="%7."/>
      <w:lvlJc w:val="left"/>
      <w:pPr>
        <w:ind w:left="5106" w:hanging="360"/>
      </w:pPr>
    </w:lvl>
    <w:lvl w:ilvl="7" w:tplc="04070019" w:tentative="1">
      <w:start w:val="1"/>
      <w:numFmt w:val="lowerLetter"/>
      <w:lvlText w:val="%8."/>
      <w:lvlJc w:val="left"/>
      <w:pPr>
        <w:ind w:left="5826" w:hanging="360"/>
      </w:pPr>
    </w:lvl>
    <w:lvl w:ilvl="8" w:tplc="0407001B" w:tentative="1">
      <w:start w:val="1"/>
      <w:numFmt w:val="lowerRoman"/>
      <w:lvlText w:val="%9."/>
      <w:lvlJc w:val="right"/>
      <w:pPr>
        <w:ind w:left="6546" w:hanging="180"/>
      </w:pPr>
    </w:lvl>
  </w:abstractNum>
  <w:num w:numId="1" w16cid:durableId="1159686388">
    <w:abstractNumId w:val="1"/>
  </w:num>
  <w:num w:numId="2" w16cid:durableId="524053935">
    <w:abstractNumId w:val="0"/>
  </w:num>
  <w:num w:numId="3" w16cid:durableId="1841387109">
    <w:abstractNumId w:val="4"/>
  </w:num>
  <w:num w:numId="4" w16cid:durableId="563492192">
    <w:abstractNumId w:val="2"/>
  </w:num>
  <w:num w:numId="5" w16cid:durableId="809593956">
    <w:abstractNumId w:val="5"/>
  </w:num>
  <w:num w:numId="6" w16cid:durableId="32401924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4"/>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01E5"/>
    <w:rsid w:val="000243AC"/>
    <w:rsid w:val="00061DF9"/>
    <w:rsid w:val="00083201"/>
    <w:rsid w:val="000A3F35"/>
    <w:rsid w:val="000A5AE8"/>
    <w:rsid w:val="000B6412"/>
    <w:rsid w:val="000F5FF1"/>
    <w:rsid w:val="00121FE3"/>
    <w:rsid w:val="0012730A"/>
    <w:rsid w:val="00140DC0"/>
    <w:rsid w:val="00141140"/>
    <w:rsid w:val="00154A81"/>
    <w:rsid w:val="00190DB0"/>
    <w:rsid w:val="00196277"/>
    <w:rsid w:val="001E647A"/>
    <w:rsid w:val="001F4CDD"/>
    <w:rsid w:val="00254EAF"/>
    <w:rsid w:val="00262D0E"/>
    <w:rsid w:val="00277FAB"/>
    <w:rsid w:val="002B7319"/>
    <w:rsid w:val="002C581C"/>
    <w:rsid w:val="002F4F93"/>
    <w:rsid w:val="0033151F"/>
    <w:rsid w:val="00350348"/>
    <w:rsid w:val="00353AB0"/>
    <w:rsid w:val="003912D9"/>
    <w:rsid w:val="0040309B"/>
    <w:rsid w:val="0044617C"/>
    <w:rsid w:val="004464CC"/>
    <w:rsid w:val="00452B5C"/>
    <w:rsid w:val="00463DCA"/>
    <w:rsid w:val="00496781"/>
    <w:rsid w:val="004C5196"/>
    <w:rsid w:val="00526370"/>
    <w:rsid w:val="00532236"/>
    <w:rsid w:val="00553BF7"/>
    <w:rsid w:val="00561C01"/>
    <w:rsid w:val="00562AB8"/>
    <w:rsid w:val="0057294D"/>
    <w:rsid w:val="005E11D7"/>
    <w:rsid w:val="006156A8"/>
    <w:rsid w:val="0063279A"/>
    <w:rsid w:val="006E28A5"/>
    <w:rsid w:val="006E2A1A"/>
    <w:rsid w:val="007132E5"/>
    <w:rsid w:val="00731FEF"/>
    <w:rsid w:val="007A4CA9"/>
    <w:rsid w:val="007A4DA0"/>
    <w:rsid w:val="007B37A2"/>
    <w:rsid w:val="007D66E6"/>
    <w:rsid w:val="008065C0"/>
    <w:rsid w:val="008144FC"/>
    <w:rsid w:val="00841FE7"/>
    <w:rsid w:val="008A4DC7"/>
    <w:rsid w:val="008B0A41"/>
    <w:rsid w:val="008C3536"/>
    <w:rsid w:val="00933C83"/>
    <w:rsid w:val="00954581"/>
    <w:rsid w:val="009605A0"/>
    <w:rsid w:val="00961909"/>
    <w:rsid w:val="009D6B20"/>
    <w:rsid w:val="009F436D"/>
    <w:rsid w:val="00A039B7"/>
    <w:rsid w:val="00A22F64"/>
    <w:rsid w:val="00A441CA"/>
    <w:rsid w:val="00A7385B"/>
    <w:rsid w:val="00A83641"/>
    <w:rsid w:val="00AD1605"/>
    <w:rsid w:val="00B2024E"/>
    <w:rsid w:val="00B36DCB"/>
    <w:rsid w:val="00B6010D"/>
    <w:rsid w:val="00B71B6F"/>
    <w:rsid w:val="00BB0886"/>
    <w:rsid w:val="00BE0A8B"/>
    <w:rsid w:val="00C04F1C"/>
    <w:rsid w:val="00C13A07"/>
    <w:rsid w:val="00C3563E"/>
    <w:rsid w:val="00CF3773"/>
    <w:rsid w:val="00D02523"/>
    <w:rsid w:val="00D076B1"/>
    <w:rsid w:val="00D37E62"/>
    <w:rsid w:val="00D67783"/>
    <w:rsid w:val="00D74953"/>
    <w:rsid w:val="00DC4C76"/>
    <w:rsid w:val="00DD01E5"/>
    <w:rsid w:val="00DE1119"/>
    <w:rsid w:val="00E05F71"/>
    <w:rsid w:val="00E61E83"/>
    <w:rsid w:val="00E84978"/>
    <w:rsid w:val="00EB753A"/>
    <w:rsid w:val="00EE3904"/>
    <w:rsid w:val="00F12CF4"/>
    <w:rsid w:val="00F17799"/>
    <w:rsid w:val="00FE06BD"/>
    <w:rsid w:val="00FF057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9A693A"/>
  <w15:docId w15:val="{C58F5C7F-12F6-0849-A64D-7D03EB7EFF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4"/>
        <w:szCs w:val="24"/>
        <w:lang w:val="en-US"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uiPriority w:val="9"/>
    <w:qFormat/>
    <w:pPr>
      <w:keepNext/>
      <w:keepLines/>
      <w:spacing w:before="480" w:after="120"/>
      <w:outlineLvl w:val="0"/>
    </w:pPr>
    <w:rPr>
      <w:b/>
      <w:sz w:val="48"/>
      <w:szCs w:val="48"/>
    </w:rPr>
  </w:style>
  <w:style w:type="paragraph" w:styleId="berschrift2">
    <w:name w:val="heading 2"/>
    <w:basedOn w:val="Standard"/>
    <w:next w:val="Standard"/>
    <w:uiPriority w:val="9"/>
    <w:semiHidden/>
    <w:unhideWhenUsed/>
    <w:qFormat/>
    <w:pPr>
      <w:keepNext/>
      <w:keepLines/>
      <w:spacing w:before="360" w:after="80"/>
      <w:outlineLvl w:val="1"/>
    </w:pPr>
    <w:rPr>
      <w:b/>
      <w:sz w:val="36"/>
      <w:szCs w:val="36"/>
    </w:rPr>
  </w:style>
  <w:style w:type="paragraph" w:styleId="berschrift3">
    <w:name w:val="heading 3"/>
    <w:basedOn w:val="Standard"/>
    <w:next w:val="Standard"/>
    <w:uiPriority w:val="9"/>
    <w:semiHidden/>
    <w:unhideWhenUsed/>
    <w:qFormat/>
    <w:pPr>
      <w:keepNext/>
      <w:keepLines/>
      <w:spacing w:before="280" w:after="80"/>
      <w:outlineLvl w:val="2"/>
    </w:pPr>
    <w:rPr>
      <w:b/>
      <w:sz w:val="28"/>
      <w:szCs w:val="28"/>
    </w:rPr>
  </w:style>
  <w:style w:type="paragraph" w:styleId="berschrift4">
    <w:name w:val="heading 4"/>
    <w:basedOn w:val="Standard"/>
    <w:next w:val="Standard"/>
    <w:uiPriority w:val="9"/>
    <w:semiHidden/>
    <w:unhideWhenUsed/>
    <w:qFormat/>
    <w:pPr>
      <w:keepNext/>
      <w:keepLines/>
      <w:spacing w:before="240" w:after="40"/>
      <w:outlineLvl w:val="3"/>
    </w:pPr>
    <w:rPr>
      <w:b/>
    </w:rPr>
  </w:style>
  <w:style w:type="paragraph" w:styleId="berschrift5">
    <w:name w:val="heading 5"/>
    <w:basedOn w:val="Standard"/>
    <w:next w:val="Standard"/>
    <w:uiPriority w:val="9"/>
    <w:semiHidden/>
    <w:unhideWhenUsed/>
    <w:qFormat/>
    <w:pPr>
      <w:keepNext/>
      <w:keepLines/>
      <w:spacing w:before="220" w:after="40"/>
      <w:outlineLvl w:val="4"/>
    </w:pPr>
    <w:rPr>
      <w:b/>
      <w:sz w:val="22"/>
      <w:szCs w:val="22"/>
    </w:rPr>
  </w:style>
  <w:style w:type="paragraph" w:styleId="berschrift6">
    <w:name w:val="heading 6"/>
    <w:basedOn w:val="Standard"/>
    <w:next w:val="Standard"/>
    <w:uiPriority w:val="9"/>
    <w:semiHidden/>
    <w:unhideWhenUsed/>
    <w:qFormat/>
    <w:pPr>
      <w:keepNext/>
      <w:keepLines/>
      <w:spacing w:before="200" w:after="40"/>
      <w:outlineLvl w:val="5"/>
    </w:pPr>
    <w:rPr>
      <w:b/>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Standard"/>
    <w:next w:val="Standard"/>
    <w:uiPriority w:val="10"/>
    <w:qFormat/>
    <w:pPr>
      <w:keepNext/>
      <w:keepLines/>
      <w:spacing w:before="480" w:after="120"/>
    </w:pPr>
    <w:rPr>
      <w:b/>
      <w:sz w:val="72"/>
      <w:szCs w:val="72"/>
    </w:rPr>
  </w:style>
  <w:style w:type="paragraph" w:styleId="Listenabsatz">
    <w:name w:val="List Paragraph"/>
    <w:basedOn w:val="Standard"/>
    <w:uiPriority w:val="34"/>
    <w:qFormat/>
    <w:rsid w:val="00CF6FE4"/>
    <w:pPr>
      <w:ind w:left="720"/>
      <w:contextualSpacing/>
    </w:pPr>
  </w:style>
  <w:style w:type="character" w:styleId="Kommentarzeichen">
    <w:name w:val="annotation reference"/>
    <w:basedOn w:val="Absatz-Standardschriftart"/>
    <w:uiPriority w:val="99"/>
    <w:semiHidden/>
    <w:unhideWhenUsed/>
    <w:rsid w:val="00CF1039"/>
    <w:rPr>
      <w:sz w:val="16"/>
      <w:szCs w:val="16"/>
    </w:rPr>
  </w:style>
  <w:style w:type="paragraph" w:styleId="Kommentartext">
    <w:name w:val="annotation text"/>
    <w:basedOn w:val="Standard"/>
    <w:link w:val="KommentartextZchn"/>
    <w:uiPriority w:val="99"/>
    <w:unhideWhenUsed/>
    <w:rsid w:val="00CF1039"/>
    <w:rPr>
      <w:sz w:val="20"/>
      <w:szCs w:val="20"/>
      <w:lang w:val="de-DE"/>
    </w:rPr>
  </w:style>
  <w:style w:type="character" w:customStyle="1" w:styleId="KommentartextZchn">
    <w:name w:val="Kommentartext Zchn"/>
    <w:basedOn w:val="Absatz-Standardschriftart"/>
    <w:link w:val="Kommentartext"/>
    <w:uiPriority w:val="99"/>
    <w:rsid w:val="00CF1039"/>
    <w:rPr>
      <w:sz w:val="20"/>
      <w:szCs w:val="20"/>
    </w:rPr>
  </w:style>
  <w:style w:type="paragraph" w:styleId="Fuzeile">
    <w:name w:val="footer"/>
    <w:basedOn w:val="Standard"/>
    <w:link w:val="FuzeileZchn"/>
    <w:uiPriority w:val="99"/>
    <w:unhideWhenUsed/>
    <w:rsid w:val="00F20827"/>
    <w:pPr>
      <w:tabs>
        <w:tab w:val="center" w:pos="4536"/>
        <w:tab w:val="right" w:pos="9072"/>
      </w:tabs>
    </w:pPr>
  </w:style>
  <w:style w:type="character" w:customStyle="1" w:styleId="FuzeileZchn">
    <w:name w:val="Fußzeile Zchn"/>
    <w:basedOn w:val="Absatz-Standardschriftart"/>
    <w:link w:val="Fuzeile"/>
    <w:uiPriority w:val="99"/>
    <w:rsid w:val="00F20827"/>
    <w:rPr>
      <w:lang w:val="en-US"/>
    </w:rPr>
  </w:style>
  <w:style w:type="character" w:styleId="Seitenzahl">
    <w:name w:val="page number"/>
    <w:basedOn w:val="Absatz-Standardschriftart"/>
    <w:uiPriority w:val="99"/>
    <w:semiHidden/>
    <w:unhideWhenUsed/>
    <w:rsid w:val="00F20827"/>
  </w:style>
  <w:style w:type="paragraph" w:styleId="Kopfzeile">
    <w:name w:val="header"/>
    <w:basedOn w:val="Standard"/>
    <w:link w:val="KopfzeileZchn"/>
    <w:uiPriority w:val="99"/>
    <w:unhideWhenUsed/>
    <w:rsid w:val="00F20827"/>
    <w:pPr>
      <w:tabs>
        <w:tab w:val="center" w:pos="4536"/>
        <w:tab w:val="right" w:pos="9072"/>
      </w:tabs>
    </w:pPr>
  </w:style>
  <w:style w:type="character" w:customStyle="1" w:styleId="KopfzeileZchn">
    <w:name w:val="Kopfzeile Zchn"/>
    <w:basedOn w:val="Absatz-Standardschriftart"/>
    <w:link w:val="Kopfzeile"/>
    <w:uiPriority w:val="99"/>
    <w:rsid w:val="00F20827"/>
    <w:rPr>
      <w:lang w:val="en-US"/>
    </w:rPr>
  </w:style>
  <w:style w:type="paragraph" w:styleId="berarbeitung">
    <w:name w:val="Revision"/>
    <w:hidden/>
    <w:uiPriority w:val="99"/>
    <w:semiHidden/>
    <w:rsid w:val="00E36C05"/>
  </w:style>
  <w:style w:type="character" w:styleId="Hyperlink">
    <w:name w:val="Hyperlink"/>
    <w:basedOn w:val="Absatz-Standardschriftart"/>
    <w:uiPriority w:val="99"/>
    <w:unhideWhenUsed/>
    <w:rsid w:val="00FA70BD"/>
    <w:rPr>
      <w:color w:val="0563C1" w:themeColor="hyperlink"/>
      <w:u w:val="single"/>
    </w:rPr>
  </w:style>
  <w:style w:type="paragraph" w:styleId="Kommentarthema">
    <w:name w:val="annotation subject"/>
    <w:basedOn w:val="Kommentartext"/>
    <w:next w:val="Kommentartext"/>
    <w:link w:val="KommentarthemaZchn"/>
    <w:uiPriority w:val="99"/>
    <w:semiHidden/>
    <w:unhideWhenUsed/>
    <w:rsid w:val="00081FE2"/>
    <w:rPr>
      <w:b/>
      <w:bCs/>
      <w:lang w:val="en-US"/>
    </w:rPr>
  </w:style>
  <w:style w:type="character" w:customStyle="1" w:styleId="KommentarthemaZchn">
    <w:name w:val="Kommentarthema Zchn"/>
    <w:basedOn w:val="KommentartextZchn"/>
    <w:link w:val="Kommentarthema"/>
    <w:uiPriority w:val="99"/>
    <w:semiHidden/>
    <w:rsid w:val="00081FE2"/>
    <w:rPr>
      <w:b/>
      <w:bCs/>
      <w:sz w:val="20"/>
      <w:szCs w:val="20"/>
      <w:lang w:val="en-US"/>
    </w:rPr>
  </w:style>
  <w:style w:type="character" w:styleId="Fett">
    <w:name w:val="Strong"/>
    <w:basedOn w:val="Absatz-Standardschriftart"/>
    <w:uiPriority w:val="22"/>
    <w:qFormat/>
    <w:rsid w:val="002F47F5"/>
    <w:rPr>
      <w:b/>
      <w:bCs/>
    </w:rPr>
  </w:style>
  <w:style w:type="paragraph" w:styleId="Sprechblasentext">
    <w:name w:val="Balloon Text"/>
    <w:basedOn w:val="Standard"/>
    <w:link w:val="SprechblasentextZchn"/>
    <w:uiPriority w:val="99"/>
    <w:semiHidden/>
    <w:unhideWhenUsed/>
    <w:rsid w:val="0050008E"/>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50008E"/>
    <w:rPr>
      <w:rFonts w:ascii="Segoe UI" w:hAnsi="Segoe UI" w:cs="Segoe UI"/>
      <w:sz w:val="18"/>
      <w:szCs w:val="18"/>
      <w:lang w:val="en-US"/>
    </w:rPr>
  </w:style>
  <w:style w:type="paragraph" w:styleId="Untertitel">
    <w:name w:val="Subtitle"/>
    <w:basedOn w:val="Standard"/>
    <w:next w:val="Standard"/>
    <w:uiPriority w:val="11"/>
    <w:qFormat/>
    <w:pPr>
      <w:keepNext/>
      <w:keepLines/>
      <w:spacing w:before="360" w:after="80"/>
    </w:pPr>
    <w:rPr>
      <w:rFonts w:ascii="Georgia" w:eastAsia="Georgia" w:hAnsi="Georgia" w:cs="Georgia"/>
      <w:i/>
      <w:color w:val="666666"/>
      <w:sz w:val="48"/>
      <w:szCs w:val="48"/>
    </w:rPr>
  </w:style>
  <w:style w:type="character" w:styleId="NichtaufgelsteErwhnung">
    <w:name w:val="Unresolved Mention"/>
    <w:basedOn w:val="Absatz-Standardschriftart"/>
    <w:uiPriority w:val="99"/>
    <w:semiHidden/>
    <w:unhideWhenUsed/>
    <w:rsid w:val="009F43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tiff"/><Relationship Id="rId18" Type="http://schemas.openxmlformats.org/officeDocument/2006/relationships/image" Target="media/image9.tiff"/><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tiff"/><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tiff"/><Relationship Id="rId5" Type="http://schemas.openxmlformats.org/officeDocument/2006/relationships/settings" Target="settings.xml"/><Relationship Id="rId15" Type="http://schemas.openxmlformats.org/officeDocument/2006/relationships/image" Target="media/image6.png"/><Relationship Id="rId10" Type="http://schemas.openxmlformats.org/officeDocument/2006/relationships/image" Target="media/image1.tiff"/><Relationship Id="rId19" Type="http://schemas.openxmlformats.org/officeDocument/2006/relationships/footer" Target="footer1.xml"/><Relationship Id="rId4" Type="http://schemas.openxmlformats.org/officeDocument/2006/relationships/styles" Target="styles.xml"/><Relationship Id="rId9" Type="http://schemas.openxmlformats.org/officeDocument/2006/relationships/hyperlink" Target="https://orcid.org/0000-0002-9388-4639%20" TargetMode="External"/><Relationship Id="rId14" Type="http://schemas.openxmlformats.org/officeDocument/2006/relationships/image" Target="media/image5.png"/><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h15k1hq+t2RKmb/4zRgCQF4xWng==">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</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EED85F8-67E1-7D49-8DEA-8740DB1229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1819</Words>
  <Characters>11466</Characters>
  <Application>Microsoft Office Word</Application>
  <DocSecurity>0</DocSecurity>
  <Lines>95</Lines>
  <Paragraphs>26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13259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Katja</dc:creator>
  <cp:lastModifiedBy>Microsoft Office User</cp:lastModifiedBy>
  <cp:revision>15</cp:revision>
  <cp:lastPrinted>2026-01-23T11:07:00Z</cp:lastPrinted>
  <dcterms:created xsi:type="dcterms:W3CDTF">2026-01-21T16:08:00Z</dcterms:created>
  <dcterms:modified xsi:type="dcterms:W3CDTF">2026-02-12T11:31:00Z</dcterms:modified>
</cp:coreProperties>
</file>