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37" w:rsidRDefault="00A52737" w:rsidP="00A52737">
      <w:r>
        <w:rPr>
          <w:rFonts w:ascii="Arial Unicode MS" w:cs="Arial Unicode MS"/>
          <w:b/>
          <w:bCs/>
          <w:color w:val="000000"/>
          <w:sz w:val="20"/>
          <w:szCs w:val="20"/>
        </w:rPr>
        <w:t>Table Supplement 1</w:t>
      </w:r>
      <w:r>
        <w:rPr>
          <w:rFonts w:ascii="Arial Unicode MS" w:cs="Arial Unicode MS"/>
          <w:color w:val="000000"/>
          <w:sz w:val="20"/>
          <w:szCs w:val="20"/>
        </w:rPr>
        <w:t xml:space="preserve"> COVID-19 policy score coding by policy type</w:t>
      </w:r>
    </w:p>
    <w:tbl>
      <w:tblPr>
        <w:tblW w:w="12979" w:type="dxa"/>
        <w:tblLook w:val="04A0" w:firstRow="1" w:lastRow="0" w:firstColumn="1" w:lastColumn="0" w:noHBand="0" w:noVBand="1"/>
      </w:tblPr>
      <w:tblGrid>
        <w:gridCol w:w="2492"/>
        <w:gridCol w:w="1690"/>
        <w:gridCol w:w="2479"/>
        <w:gridCol w:w="2195"/>
        <w:gridCol w:w="1667"/>
        <w:gridCol w:w="799"/>
        <w:gridCol w:w="1657"/>
      </w:tblGrid>
      <w:tr w:rsidR="00A52737" w:rsidTr="0010082A">
        <w:trPr>
          <w:trHeight w:val="151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6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146"/>
        </w:trPr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Policy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52737" w:rsidTr="0010082A">
        <w:trPr>
          <w:trHeight w:val="262"/>
        </w:trPr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Stay at home order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Statewide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stay at home order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High-risk groups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Rolled back to high-risk groups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Lifted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 state policy</w:t>
            </w:r>
          </w:p>
        </w:tc>
      </w:tr>
      <w:tr w:rsidR="00A52737" w:rsidTr="0010082A">
        <w:trPr>
          <w:trHeight w:val="393"/>
        </w:trPr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Non-essential business closures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Some non-essential businesses permitted to reopen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Some non-essential business permitted to reopen with reduced capacity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business closures or limits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All non-essential businesses permitted to reopen with reduced capacity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All non-essential businesses permitted to reopen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 state policy</w:t>
            </w:r>
          </w:p>
        </w:tc>
      </w:tr>
      <w:tr w:rsidR="00A52737" w:rsidTr="0010082A">
        <w:trPr>
          <w:trHeight w:val="657"/>
        </w:trPr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Large gathering ban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All gatherings prohibited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&gt;10 people prohibited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Expanded to new limit below 25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Expanded to new limit of 25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Expanded to new limit of 25 or fewer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limit on large gatherings in place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Expanded to new limit above 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Lifted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Other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 xml:space="preserve">No state policy </w:t>
            </w:r>
          </w:p>
        </w:tc>
      </w:tr>
      <w:tr w:rsidR="00A52737" w:rsidTr="0010082A">
        <w:trPr>
          <w:trHeight w:val="525"/>
        </w:trPr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Restaurant limits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Closed except for takeout/delivery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Newly closed to dine-in service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Reopened to dine-in service with capacity limits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Limited dine-in service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capacity limits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service limits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Reopened to dine-in service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 state policy</w:t>
            </w:r>
          </w:p>
        </w:tc>
      </w:tr>
      <w:tr w:rsidR="00A52737" w:rsidTr="0010082A">
        <w:trPr>
          <w:trHeight w:val="262"/>
        </w:trPr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Bar closures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Closed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Newly closed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service limits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Reopened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 state policy</w:t>
            </w:r>
          </w:p>
        </w:tc>
      </w:tr>
      <w:tr w:rsidR="00A52737" w:rsidTr="0010082A">
        <w:trPr>
          <w:trHeight w:val="540"/>
        </w:trPr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Face covering requirement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Required for general public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Required for certain employees; Allows local officials to require for general public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Required for certain employees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br/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 xml:space="preserve">Allows local officials to 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lastRenderedPageBreak/>
              <w:t>require for general public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•</w:t>
            </w: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 state policy</w:t>
            </w:r>
          </w:p>
        </w:tc>
      </w:tr>
    </w:tbl>
    <w:p w:rsidR="00A52737" w:rsidRDefault="00A52737" w:rsidP="00A52737">
      <w:pPr>
        <w:rPr>
          <w:rFonts w:ascii="Arial Unicode MS" w:cs="Arial Unicode MS"/>
          <w:b/>
          <w:bCs/>
          <w:color w:val="000000"/>
          <w:sz w:val="20"/>
          <w:szCs w:val="20"/>
        </w:rPr>
      </w:pPr>
    </w:p>
    <w:p w:rsidR="00A52737" w:rsidRDefault="00A52737" w:rsidP="00A52737">
      <w:pPr>
        <w:rPr>
          <w:rFonts w:ascii="Arial Unicode MS" w:hAnsi="Arial Unicode MS" w:cs="Arial Unicode MS"/>
          <w:color w:val="000000"/>
          <w:sz w:val="20"/>
          <w:szCs w:val="20"/>
        </w:rPr>
      </w:pPr>
      <w:proofErr w:type="gramStart"/>
      <w:r>
        <w:rPr>
          <w:rFonts w:ascii="Arial Unicode MS" w:cs="Arial Unicode MS"/>
          <w:b/>
          <w:bCs/>
          <w:color w:val="000000"/>
          <w:sz w:val="20"/>
          <w:szCs w:val="20"/>
        </w:rPr>
        <w:t>Table Supplement 2.</w:t>
      </w:r>
      <w:proofErr w:type="gramEnd"/>
      <w:r>
        <w:rPr>
          <w:rFonts w:ascii="Arial Unicode MS" w:cs="Arial Unicode MS"/>
          <w:color w:val="000000"/>
          <w:sz w:val="20"/>
          <w:szCs w:val="20"/>
        </w:rPr>
        <w:t xml:space="preserve"> COVID-19 Policy, State Demographic Characteristics, Cannabis State Regulation, COVID-19 Infection Prevalence per 100,000 persons by State</w:t>
      </w:r>
    </w:p>
    <w:tbl>
      <w:tblPr>
        <w:tblW w:w="13860" w:type="dxa"/>
        <w:tblLook w:val="04A0" w:firstRow="1" w:lastRow="0" w:firstColumn="1" w:lastColumn="0" w:noHBand="0" w:noVBand="1"/>
      </w:tblPr>
      <w:tblGrid>
        <w:gridCol w:w="1890"/>
        <w:gridCol w:w="1890"/>
        <w:gridCol w:w="1260"/>
        <w:gridCol w:w="180"/>
        <w:gridCol w:w="1080"/>
        <w:gridCol w:w="1440"/>
        <w:gridCol w:w="1260"/>
        <w:gridCol w:w="1350"/>
        <w:gridCol w:w="1530"/>
        <w:gridCol w:w="1980"/>
      </w:tblGrid>
      <w:tr w:rsidR="00A52737" w:rsidTr="0010082A">
        <w:trPr>
          <w:trHeight w:val="613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Average COVID-19 Policy Score (June to August)</w:t>
            </w: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COVID-19 Policy Score June</w:t>
            </w: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COVID-19 Policy Score July</w:t>
            </w: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COVID-19 Policy Score August</w:t>
            </w: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State Percent Urban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 xml:space="preserve">State Median </w:t>
            </w: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br/>
              <w:t xml:space="preserve">Age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Cannabis Regulation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COVID-19 Infection Prevalence as of May 24</w:t>
            </w: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292.1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Alaska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55.8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Arizona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229.0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196.6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241.0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418.7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Connecticut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1122.3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Delaware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889.8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District of Columbia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1176.1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236.2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400.5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Hawaii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44.2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142.8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860.9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462.4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540.7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306.5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190.2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Louisiana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798.0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Maine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150.8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87.2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749.7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1318.3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542.6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lastRenderedPageBreak/>
              <w:t>Minnesota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360.5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447.8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197.5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44.2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618.6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Nevada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253.9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Hampshire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301.2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1662.2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Mexico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327.9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1789.6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223.8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North Dakota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310.4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270.4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152.5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92.7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548.1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1281.7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South Carolina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197.3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514.6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291.0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192.0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Utah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256.5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Vermont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148.7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419.9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84.1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Fully 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257.3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Medical Only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98.1</w:t>
            </w:r>
          </w:p>
        </w:tc>
      </w:tr>
      <w:tr w:rsidR="00A52737" w:rsidTr="0010082A">
        <w:trPr>
          <w:trHeight w:val="25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70.2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259.2</w:t>
            </w:r>
          </w:p>
        </w:tc>
      </w:tr>
      <w:tr w:rsidR="00A52737" w:rsidTr="0010082A">
        <w:trPr>
          <w:trHeight w:val="265"/>
        </w:trPr>
        <w:tc>
          <w:tcPr>
            <w:tcW w:w="1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Unregulated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145.3</w:t>
            </w:r>
          </w:p>
        </w:tc>
      </w:tr>
    </w:tbl>
    <w:p w:rsidR="00A52737" w:rsidRDefault="00A52737" w:rsidP="00A52737">
      <w:pPr>
        <w:spacing w:line="480" w:lineRule="auto"/>
        <w:rPr>
          <w:rFonts w:ascii="Arial Unicode MS" w:cs="Arial Unicode MS"/>
          <w:color w:val="000000"/>
          <w:sz w:val="20"/>
          <w:szCs w:val="20"/>
        </w:rPr>
      </w:pPr>
      <w:proofErr w:type="gramStart"/>
      <w:r w:rsidRPr="00A52737">
        <w:rPr>
          <w:rFonts w:ascii="Arial Unicode MS" w:cs="Arial Unicode MS"/>
          <w:bCs/>
          <w:color w:val="000000"/>
          <w:sz w:val="20"/>
          <w:szCs w:val="20"/>
          <w:vertAlign w:val="superscript"/>
        </w:rPr>
        <w:t>a</w:t>
      </w:r>
      <w:bookmarkStart w:id="0" w:name="_GoBack"/>
      <w:proofErr w:type="gramEnd"/>
      <w:r w:rsidRPr="00A52737">
        <w:rPr>
          <w:rFonts w:ascii="Arial Unicode MS" w:cs="Arial Unicode MS"/>
          <w:color w:val="000000"/>
          <w:sz w:val="20"/>
          <w:szCs w:val="20"/>
        </w:rPr>
        <w:t xml:space="preserve"> </w:t>
      </w:r>
      <w:bookmarkEnd w:id="0"/>
      <w:r>
        <w:rPr>
          <w:rFonts w:ascii="Arial Unicode MS" w:cs="Arial Unicode MS"/>
          <w:color w:val="000000"/>
          <w:sz w:val="20"/>
          <w:szCs w:val="20"/>
        </w:rPr>
        <w:t>COVID-19 Policy is a calculated form a score that ranges from 0</w:t>
      </w:r>
      <w:r>
        <w:rPr>
          <w:rFonts w:ascii="Arial Unicode MS" w:cs="Arial Unicode MS"/>
          <w:color w:val="000000"/>
          <w:sz w:val="20"/>
          <w:szCs w:val="20"/>
        </w:rPr>
        <w:t>–</w:t>
      </w:r>
      <w:r>
        <w:rPr>
          <w:rFonts w:ascii="Arial Unicode MS" w:cs="Arial Unicode MS"/>
          <w:color w:val="000000"/>
          <w:sz w:val="20"/>
          <w:szCs w:val="20"/>
        </w:rPr>
        <w:t>30</w:t>
      </w:r>
    </w:p>
    <w:p w:rsidR="00A52737" w:rsidRDefault="00A52737" w:rsidP="00A52737">
      <w:pPr>
        <w:spacing w:line="480" w:lineRule="auto"/>
        <w:rPr>
          <w:rFonts w:ascii="Arial Unicode MS" w:cs="Arial Unicode MS"/>
          <w:color w:val="000000"/>
          <w:sz w:val="20"/>
          <w:szCs w:val="20"/>
        </w:rPr>
      </w:pPr>
      <w:proofErr w:type="gramStart"/>
      <w:r>
        <w:rPr>
          <w:rFonts w:ascii="Arial Unicode MS" w:cs="Arial Unicode MS"/>
          <w:color w:val="000000"/>
          <w:sz w:val="20"/>
          <w:szCs w:val="20"/>
          <w:vertAlign w:val="superscript"/>
        </w:rPr>
        <w:t>b</w:t>
      </w:r>
      <w:proofErr w:type="gramEnd"/>
      <w:r>
        <w:rPr>
          <w:rFonts w:ascii="Arial Unicode MS" w:cs="Arial Unicode MS"/>
          <w:color w:val="000000"/>
          <w:sz w:val="20"/>
          <w:szCs w:val="20"/>
          <w:vertAlign w:val="superscript"/>
        </w:rPr>
        <w:t xml:space="preserve"> </w:t>
      </w:r>
      <w:r>
        <w:rPr>
          <w:rFonts w:ascii="Arial Unicode MS" w:cs="Arial Unicode MS"/>
          <w:color w:val="000000"/>
          <w:sz w:val="20"/>
          <w:szCs w:val="20"/>
        </w:rPr>
        <w:t>COVID-19 infection are state population level prevalence's per 100,000 persons</w:t>
      </w:r>
    </w:p>
    <w:p w:rsidR="00A52737" w:rsidRDefault="00A52737" w:rsidP="00A52737">
      <w:pPr>
        <w:spacing w:line="480" w:lineRule="auto"/>
      </w:pPr>
      <w:proofErr w:type="gramStart"/>
      <w:r w:rsidRPr="00283597">
        <w:rPr>
          <w:rFonts w:ascii="Arial Unicode MS" w:cs="Arial Unicode MS"/>
          <w:b/>
          <w:color w:val="000000"/>
          <w:sz w:val="20"/>
          <w:szCs w:val="20"/>
        </w:rPr>
        <w:t>Table Supplement 3</w:t>
      </w:r>
      <w:r>
        <w:rPr>
          <w:rFonts w:ascii="Arial Unicode MS" w:cs="Arial Unicode MS"/>
          <w:color w:val="000000"/>
          <w:sz w:val="20"/>
          <w:szCs w:val="20"/>
        </w:rPr>
        <w:t>.</w:t>
      </w:r>
      <w:proofErr w:type="gramEnd"/>
      <w:r>
        <w:rPr>
          <w:rFonts w:ascii="Arial Unicode MS" w:cs="Arial Unicode MS"/>
          <w:color w:val="000000"/>
          <w:sz w:val="20"/>
          <w:szCs w:val="20"/>
        </w:rPr>
        <w:t xml:space="preserve"> Spearman's correlation coefficient for pairwise correlations between state-level COVID-19 policies (June 2020)</w:t>
      </w:r>
    </w:p>
    <w:tbl>
      <w:tblPr>
        <w:tblW w:w="12275" w:type="dxa"/>
        <w:tblLook w:val="04A0" w:firstRow="1" w:lastRow="0" w:firstColumn="1" w:lastColumn="0" w:noHBand="0" w:noVBand="1"/>
      </w:tblPr>
      <w:tblGrid>
        <w:gridCol w:w="4157"/>
        <w:gridCol w:w="2588"/>
        <w:gridCol w:w="2494"/>
        <w:gridCol w:w="1644"/>
        <w:gridCol w:w="1392"/>
      </w:tblGrid>
      <w:tr w:rsidR="00A52737" w:rsidTr="0010082A">
        <w:trPr>
          <w:trHeight w:val="192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283597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283597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 xml:space="preserve">Stay at home </w:t>
            </w:r>
          </w:p>
          <w:p w:rsidR="00A52737" w:rsidRPr="00283597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283597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283597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283597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Non-essential business closure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283597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283597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Large gathering ban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283597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283597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Restaurant limits</w:t>
            </w:r>
          </w:p>
        </w:tc>
      </w:tr>
      <w:tr w:rsidR="00A52737" w:rsidTr="0010082A">
        <w:trPr>
          <w:trHeight w:val="192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Stay at home order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192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Non-essential business closure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0.39*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192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Large gathering ban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0.36*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A52737" w:rsidTr="0010082A">
        <w:trPr>
          <w:trHeight w:val="197"/>
        </w:trPr>
        <w:tc>
          <w:tcPr>
            <w:tcW w:w="4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Restaurant limits</w:t>
            </w: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24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0.62*</w:t>
            </w:r>
          </w:p>
        </w:tc>
        <w:tc>
          <w:tcPr>
            <w:tcW w:w="16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0.52*</w:t>
            </w:r>
          </w:p>
        </w:tc>
        <w:tc>
          <w:tcPr>
            <w:tcW w:w="13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</w:tr>
    </w:tbl>
    <w:p w:rsidR="00A52737" w:rsidRDefault="00A52737" w:rsidP="00A52737">
      <w:pPr>
        <w:spacing w:line="480" w:lineRule="auto"/>
        <w:rPr>
          <w:rFonts w:ascii="Arial Unicode MS" w:cs="Arial Unicode MS"/>
          <w:color w:val="000000"/>
          <w:sz w:val="20"/>
          <w:szCs w:val="20"/>
        </w:rPr>
      </w:pPr>
      <w:r>
        <w:rPr>
          <w:rFonts w:ascii="Arial Unicode MS" w:cs="Arial Unicode MS"/>
          <w:color w:val="000000"/>
          <w:sz w:val="20"/>
          <w:szCs w:val="20"/>
        </w:rPr>
        <w:t>Computed for 50 states including the District of Colombia for policies in June 2020</w:t>
      </w:r>
    </w:p>
    <w:p w:rsidR="00A52737" w:rsidRDefault="00A52737" w:rsidP="00A52737">
      <w:pPr>
        <w:spacing w:line="480" w:lineRule="auto"/>
        <w:rPr>
          <w:rFonts w:ascii="Arial Unicode MS" w:cs="Arial Unicode MS"/>
          <w:color w:val="000000"/>
          <w:sz w:val="20"/>
          <w:szCs w:val="20"/>
        </w:rPr>
      </w:pPr>
      <w:r>
        <w:rPr>
          <w:rFonts w:ascii="Arial Unicode MS" w:cs="Arial Unicode MS"/>
          <w:color w:val="000000"/>
          <w:sz w:val="20"/>
          <w:szCs w:val="20"/>
        </w:rPr>
        <w:t>*p</w:t>
      </w:r>
      <w:r>
        <w:rPr>
          <w:rFonts w:ascii="Arial Unicode MS" w:cs="Arial Unicode MS"/>
          <w:color w:val="000000"/>
          <w:sz w:val="20"/>
          <w:szCs w:val="20"/>
        </w:rPr>
        <w:t> </w:t>
      </w:r>
      <w:r>
        <w:rPr>
          <w:rFonts w:ascii="Arial Unicode MS" w:cs="Arial Unicode MS"/>
          <w:color w:val="000000"/>
          <w:sz w:val="20"/>
          <w:szCs w:val="20"/>
        </w:rPr>
        <w:t>&lt;</w:t>
      </w:r>
      <w:r>
        <w:rPr>
          <w:rFonts w:ascii="Arial Unicode MS" w:cs="Arial Unicode MS"/>
          <w:color w:val="000000"/>
          <w:sz w:val="20"/>
          <w:szCs w:val="20"/>
        </w:rPr>
        <w:t> </w:t>
      </w:r>
      <w:r>
        <w:rPr>
          <w:rFonts w:ascii="Arial Unicode MS" w:cs="Arial Unicode MS"/>
          <w:color w:val="000000"/>
          <w:sz w:val="20"/>
          <w:szCs w:val="20"/>
        </w:rPr>
        <w:t>0.05</w:t>
      </w:r>
    </w:p>
    <w:p w:rsidR="00A52737" w:rsidRDefault="00A52737" w:rsidP="00A52737">
      <w:pPr>
        <w:spacing w:line="480" w:lineRule="auto"/>
      </w:pPr>
      <w:proofErr w:type="gramStart"/>
      <w:r w:rsidRPr="00B50DEB">
        <w:rPr>
          <w:rFonts w:ascii="Arial Unicode MS" w:cs="Arial Unicode MS"/>
          <w:b/>
          <w:color w:val="000000"/>
          <w:sz w:val="20"/>
          <w:szCs w:val="20"/>
        </w:rPr>
        <w:t>Table Supplement 4</w:t>
      </w:r>
      <w:r>
        <w:rPr>
          <w:rFonts w:ascii="Arial Unicode MS" w:cs="Arial Unicode MS"/>
          <w:color w:val="000000"/>
          <w:sz w:val="20"/>
          <w:szCs w:val="20"/>
        </w:rPr>
        <w:t>.</w:t>
      </w:r>
      <w:proofErr w:type="gramEnd"/>
      <w:r>
        <w:rPr>
          <w:rFonts w:ascii="Arial Unicode MS" w:cs="Arial Unicode MS"/>
          <w:color w:val="000000"/>
          <w:sz w:val="20"/>
          <w:szCs w:val="20"/>
        </w:rPr>
        <w:t xml:space="preserve"> Spearman's correlation coefficient for pairwise correlations between state-level COVID-19 policies (July 2020)</w:t>
      </w:r>
    </w:p>
    <w:tbl>
      <w:tblPr>
        <w:tblW w:w="12832" w:type="dxa"/>
        <w:tblLook w:val="04A0" w:firstRow="1" w:lastRow="0" w:firstColumn="1" w:lastColumn="0" w:noHBand="0" w:noVBand="1"/>
      </w:tblPr>
      <w:tblGrid>
        <w:gridCol w:w="3330"/>
        <w:gridCol w:w="2075"/>
        <w:gridCol w:w="2161"/>
        <w:gridCol w:w="1427"/>
        <w:gridCol w:w="1210"/>
        <w:gridCol w:w="962"/>
        <w:gridCol w:w="1667"/>
      </w:tblGrid>
      <w:tr w:rsidR="00A52737" w:rsidTr="0010082A">
        <w:trPr>
          <w:trHeight w:val="21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B50DEB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B50DEB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 xml:space="preserve">Stay at home </w:t>
            </w:r>
          </w:p>
          <w:p w:rsidR="00A52737" w:rsidRPr="00B50DEB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B50DEB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B50DEB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B50DEB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Non-essential business closure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B50DEB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B50DEB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Large gathering ban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B50DEB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B50DEB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Restaurant limits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B50DEB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B50DEB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Bar closures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Pr="00B50DEB" w:rsidRDefault="00A52737" w:rsidP="0010082A">
            <w:pPr>
              <w:jc w:val="center"/>
              <w:rPr>
                <w:rFonts w:ascii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B50DEB">
              <w:rPr>
                <w:rFonts w:ascii="Arial Unicode MS" w:cs="Arial Unicode MS"/>
                <w:b/>
                <w:color w:val="000000"/>
                <w:sz w:val="20"/>
                <w:szCs w:val="20"/>
              </w:rPr>
              <w:t>Face cover requirement</w:t>
            </w:r>
          </w:p>
        </w:tc>
      </w:tr>
      <w:tr w:rsidR="00A52737" w:rsidTr="0010082A">
        <w:trPr>
          <w:trHeight w:val="21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Stay at home order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21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Non-essential business closure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0.32*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21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Large gathering ban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0.29*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0.45*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21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Restaurant limits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0.56*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0.37*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21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Bar closures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0.44*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0.30*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0.36*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A52737" w:rsidTr="0010082A">
        <w:trPr>
          <w:trHeight w:val="227"/>
        </w:trPr>
        <w:tc>
          <w:tcPr>
            <w:tcW w:w="33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Face cover requirement</w:t>
            </w:r>
          </w:p>
        </w:tc>
        <w:tc>
          <w:tcPr>
            <w:tcW w:w="20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21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0.44*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0.52*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0.38*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</w:tr>
    </w:tbl>
    <w:p w:rsidR="00A52737" w:rsidRDefault="00A52737" w:rsidP="00A52737">
      <w:pPr>
        <w:spacing w:line="480" w:lineRule="auto"/>
        <w:rPr>
          <w:rFonts w:ascii="Arial Unicode MS" w:cs="Arial Unicode MS"/>
          <w:color w:val="000000"/>
          <w:sz w:val="20"/>
          <w:szCs w:val="20"/>
        </w:rPr>
      </w:pPr>
      <w:r>
        <w:rPr>
          <w:rFonts w:ascii="Arial Unicode MS" w:cs="Arial Unicode MS"/>
          <w:color w:val="000000"/>
          <w:sz w:val="20"/>
          <w:szCs w:val="20"/>
        </w:rPr>
        <w:t>Computed for 50 states including the District of Colombia for policies in July 2020</w:t>
      </w:r>
    </w:p>
    <w:p w:rsidR="00A52737" w:rsidRDefault="00A52737" w:rsidP="00A52737">
      <w:pPr>
        <w:spacing w:line="480" w:lineRule="auto"/>
        <w:rPr>
          <w:rFonts w:ascii="Arial Unicode MS" w:cs="Arial Unicode MS"/>
          <w:color w:val="000000"/>
          <w:sz w:val="20"/>
          <w:szCs w:val="20"/>
        </w:rPr>
      </w:pPr>
      <w:r>
        <w:rPr>
          <w:rFonts w:ascii="Arial Unicode MS" w:cs="Arial Unicode MS"/>
          <w:color w:val="000000"/>
          <w:sz w:val="20"/>
          <w:szCs w:val="20"/>
        </w:rPr>
        <w:t>*p</w:t>
      </w:r>
      <w:r>
        <w:rPr>
          <w:rFonts w:ascii="Arial Unicode MS" w:cs="Arial Unicode MS"/>
          <w:color w:val="000000"/>
          <w:sz w:val="20"/>
          <w:szCs w:val="20"/>
        </w:rPr>
        <w:t> </w:t>
      </w:r>
      <w:r>
        <w:rPr>
          <w:rFonts w:ascii="Arial Unicode MS" w:cs="Arial Unicode MS"/>
          <w:color w:val="000000"/>
          <w:sz w:val="20"/>
          <w:szCs w:val="20"/>
        </w:rPr>
        <w:t>&lt;</w:t>
      </w:r>
      <w:r>
        <w:rPr>
          <w:rFonts w:ascii="Arial Unicode MS" w:cs="Arial Unicode MS"/>
          <w:color w:val="000000"/>
          <w:sz w:val="20"/>
          <w:szCs w:val="20"/>
        </w:rPr>
        <w:t> </w:t>
      </w:r>
      <w:r>
        <w:rPr>
          <w:rFonts w:ascii="Arial Unicode MS" w:cs="Arial Unicode MS"/>
          <w:color w:val="000000"/>
          <w:sz w:val="20"/>
          <w:szCs w:val="20"/>
        </w:rPr>
        <w:t>0.05</w:t>
      </w:r>
    </w:p>
    <w:p w:rsidR="00A52737" w:rsidRDefault="00A52737" w:rsidP="00A52737">
      <w:pPr>
        <w:spacing w:line="480" w:lineRule="auto"/>
      </w:pPr>
      <w:proofErr w:type="gramStart"/>
      <w:r w:rsidRPr="0016026A">
        <w:rPr>
          <w:rFonts w:ascii="Arial Unicode MS" w:cs="Arial Unicode MS"/>
          <w:b/>
          <w:color w:val="000000"/>
          <w:sz w:val="20"/>
          <w:szCs w:val="20"/>
        </w:rPr>
        <w:t>Table Supplement 5.</w:t>
      </w:r>
      <w:proofErr w:type="gramEnd"/>
      <w:r>
        <w:rPr>
          <w:rFonts w:ascii="Arial Unicode MS" w:cs="Arial Unicode MS"/>
          <w:color w:val="000000"/>
          <w:sz w:val="20"/>
          <w:szCs w:val="20"/>
        </w:rPr>
        <w:t xml:space="preserve"> Spearman</w:t>
      </w:r>
      <w:r>
        <w:rPr>
          <w:rFonts w:ascii="Arial Unicode MS" w:cs="Arial Unicode MS"/>
          <w:color w:val="000000"/>
          <w:sz w:val="20"/>
          <w:szCs w:val="20"/>
        </w:rPr>
        <w:t>’</w:t>
      </w:r>
      <w:r>
        <w:rPr>
          <w:rFonts w:ascii="Arial Unicode MS" w:cs="Arial Unicode MS"/>
          <w:color w:val="000000"/>
          <w:sz w:val="20"/>
          <w:szCs w:val="20"/>
        </w:rPr>
        <w:t>s correlation coefficient for pairwise correlations between state-level COVID-19 policies (August 2020)</w:t>
      </w:r>
    </w:p>
    <w:tbl>
      <w:tblPr>
        <w:tblW w:w="12914" w:type="dxa"/>
        <w:tblLook w:val="04A0" w:firstRow="1" w:lastRow="0" w:firstColumn="1" w:lastColumn="0" w:noHBand="0" w:noVBand="1"/>
      </w:tblPr>
      <w:tblGrid>
        <w:gridCol w:w="3419"/>
        <w:gridCol w:w="2129"/>
        <w:gridCol w:w="2141"/>
        <w:gridCol w:w="1413"/>
        <w:gridCol w:w="1198"/>
        <w:gridCol w:w="961"/>
        <w:gridCol w:w="1653"/>
      </w:tblGrid>
      <w:tr w:rsidR="00A52737" w:rsidTr="0010082A">
        <w:trPr>
          <w:trHeight w:val="282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 xml:space="preserve">Stay at home </w:t>
            </w:r>
          </w:p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Non-essential business closure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Large gathering ban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Restaurant limits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Bar closures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Face cover requirement</w:t>
            </w:r>
          </w:p>
        </w:tc>
      </w:tr>
      <w:tr w:rsidR="00A52737" w:rsidTr="0010082A">
        <w:trPr>
          <w:trHeight w:val="282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Stay at home order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282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Non-essential business closure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282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Large gathering ban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0.42*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282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Restaurant limits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0.61*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0.33*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A52737" w:rsidTr="0010082A">
        <w:trPr>
          <w:trHeight w:val="282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Bar closures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0.53*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0.46*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0.37*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A52737" w:rsidTr="0010082A">
        <w:trPr>
          <w:trHeight w:val="291"/>
        </w:trPr>
        <w:tc>
          <w:tcPr>
            <w:tcW w:w="34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lastRenderedPageBreak/>
              <w:t>Face cover requirement</w:t>
            </w:r>
          </w:p>
        </w:tc>
        <w:tc>
          <w:tcPr>
            <w:tcW w:w="21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0.40*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0.52*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b/>
                <w:bCs/>
                <w:color w:val="000000"/>
                <w:sz w:val="20"/>
                <w:szCs w:val="20"/>
              </w:rPr>
              <w:t>0.34*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37" w:rsidRDefault="00A52737" w:rsidP="0010082A">
            <w:pPr>
              <w:jc w:val="center"/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cs="Arial Unicode MS"/>
                <w:color w:val="000000"/>
                <w:sz w:val="20"/>
                <w:szCs w:val="20"/>
              </w:rPr>
              <w:t>1.00</w:t>
            </w:r>
          </w:p>
        </w:tc>
      </w:tr>
    </w:tbl>
    <w:p w:rsidR="00A52737" w:rsidRDefault="00A52737" w:rsidP="00A52737">
      <w:pPr>
        <w:spacing w:line="480" w:lineRule="auto"/>
        <w:rPr>
          <w:rFonts w:ascii="Arial Unicode MS" w:cs="Arial Unicode MS"/>
          <w:color w:val="000000"/>
          <w:sz w:val="20"/>
          <w:szCs w:val="20"/>
        </w:rPr>
      </w:pPr>
      <w:r>
        <w:rPr>
          <w:rFonts w:ascii="Arial Unicode MS" w:cs="Arial Unicode MS"/>
          <w:color w:val="000000"/>
          <w:sz w:val="20"/>
          <w:szCs w:val="20"/>
        </w:rPr>
        <w:t>Computed for 50 states including the District of Colombia for policies in August 2020</w:t>
      </w:r>
    </w:p>
    <w:p w:rsidR="00A52737" w:rsidRDefault="00A52737" w:rsidP="00A52737">
      <w:pPr>
        <w:spacing w:line="480" w:lineRule="auto"/>
      </w:pPr>
      <w:r>
        <w:rPr>
          <w:rFonts w:ascii="Arial Unicode MS" w:cs="Arial Unicode MS"/>
          <w:color w:val="000000"/>
          <w:sz w:val="20"/>
          <w:szCs w:val="20"/>
        </w:rPr>
        <w:t>*p</w:t>
      </w:r>
      <w:r>
        <w:rPr>
          <w:rFonts w:ascii="Arial Unicode MS" w:cs="Arial Unicode MS"/>
          <w:color w:val="000000"/>
          <w:sz w:val="20"/>
          <w:szCs w:val="20"/>
        </w:rPr>
        <w:t> </w:t>
      </w:r>
      <w:r>
        <w:rPr>
          <w:rFonts w:ascii="Arial Unicode MS" w:cs="Arial Unicode MS"/>
          <w:color w:val="000000"/>
          <w:sz w:val="20"/>
          <w:szCs w:val="20"/>
        </w:rPr>
        <w:t>&lt;</w:t>
      </w:r>
      <w:r>
        <w:rPr>
          <w:rFonts w:ascii="Arial Unicode MS" w:cs="Arial Unicode MS"/>
          <w:color w:val="000000"/>
          <w:sz w:val="20"/>
          <w:szCs w:val="20"/>
        </w:rPr>
        <w:t> </w:t>
      </w:r>
      <w:r>
        <w:rPr>
          <w:rFonts w:ascii="Arial Unicode MS" w:cs="Arial Unicode MS"/>
          <w:color w:val="000000"/>
          <w:sz w:val="20"/>
          <w:szCs w:val="20"/>
        </w:rPr>
        <w:t>0.05</w:t>
      </w:r>
    </w:p>
    <w:p w:rsidR="003410CF" w:rsidRDefault="003410CF"/>
    <w:sectPr w:rsidR="00341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37"/>
    <w:rsid w:val="003410CF"/>
    <w:rsid w:val="00A5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3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3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MadinaBegum MohamadNour (Integra)</dc:creator>
  <cp:lastModifiedBy>MadinaBegum MohamadNour (Integra)</cp:lastModifiedBy>
  <cp:revision>1</cp:revision>
  <dcterms:created xsi:type="dcterms:W3CDTF">2024-03-20T10:08:00Z</dcterms:created>
  <dcterms:modified xsi:type="dcterms:W3CDTF">2024-03-20T10:10:00Z</dcterms:modified>
</cp:coreProperties>
</file>