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cs="Arial" w:ascii="Arial" w:hAnsi="Arial"/>
          <w:color w:val="000000" w:themeColor="text1"/>
          <w:sz w:val="16"/>
          <w:szCs w:val="16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Supplement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Supplement 1: Projection of the number of equivalent adults by estimation of conversion factors in equivalent adults for estimated caloric needs according to age and sex.</w:t>
      </w:r>
    </w:p>
    <w:tbl>
      <w:tblPr>
        <w:tblW w:w="7775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772"/>
        <w:gridCol w:w="1834"/>
        <w:gridCol w:w="2006"/>
        <w:gridCol w:w="1"/>
        <w:gridCol w:w="2161"/>
      </w:tblGrid>
      <w:tr>
        <w:trPr>
          <w:trHeight w:val="343" w:hRule="atLeast"/>
        </w:trPr>
        <w:tc>
          <w:tcPr>
            <w:tcW w:w="177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Age groups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sz w:val="18"/>
                <w:szCs w:val="18"/>
                <w:lang w:eastAsia="pt-BR"/>
              </w:rPr>
              <w:t>Population projection 2018</w:t>
            </w:r>
            <w:r>
              <w:rPr>
                <w:rFonts w:eastAsia="Times New Roman" w:cs="Arial" w:ascii="Arial" w:hAnsi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pt-BR"/>
              </w:rPr>
              <w:t>¥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Equivalent Adult Conversion Factor *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Equivalent adult conversion</w:t>
            </w:r>
          </w:p>
        </w:tc>
      </w:tr>
      <w:tr>
        <w:trPr>
          <w:trHeight w:val="343" w:hRule="atLeast"/>
        </w:trPr>
        <w:tc>
          <w:tcPr>
            <w:tcW w:w="360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Newborns</w:t>
            </w:r>
          </w:p>
        </w:tc>
        <w:tc>
          <w:tcPr>
            <w:tcW w:w="20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1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t-BR"/>
              </w:rPr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 to &lt;1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2,978,233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0.29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863,688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Children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t-BR"/>
              </w:rPr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t-BR"/>
              </w:rPr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 to 3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8,867,360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0.51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4,522,354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4 to 6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8,754,136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0.71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6,215,437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7 to 10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11680,287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0.78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9,110,624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Men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t-BR"/>
              </w:rPr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t-BR"/>
              </w:rPr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11 to 14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6,242,278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0.98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6,117,432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15 to 18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6,613,226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1.18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7,803,607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19 to 24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10,467,326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1.14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11,932,752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25 to 50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40,063,092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1.14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45,671,925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51 and more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22,077,899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0.9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19,870,109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Women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t-BR"/>
              </w:rPr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t-BR"/>
              </w:rPr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11 to 14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5,985,116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0.86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5,147,200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15 to 18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6,377,510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0.86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5,484,659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19 to 24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10,276,564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0.86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8,837,845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25 to 50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41,685,856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0.86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35,849,836</w:t>
            </w:r>
          </w:p>
        </w:tc>
      </w:tr>
      <w:tr>
        <w:trPr>
          <w:trHeight w:val="343" w:hRule="atLeast"/>
        </w:trPr>
        <w:tc>
          <w:tcPr>
            <w:tcW w:w="17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51 and more</w:t>
            </w:r>
          </w:p>
        </w:tc>
        <w:tc>
          <w:tcPr>
            <w:tcW w:w="183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26,426,017</w:t>
            </w:r>
          </w:p>
        </w:tc>
        <w:tc>
          <w:tcPr>
            <w:tcW w:w="20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0.75</w:t>
            </w:r>
          </w:p>
        </w:tc>
        <w:tc>
          <w:tcPr>
            <w:tcW w:w="21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19,819,513</w:t>
            </w:r>
          </w:p>
        </w:tc>
      </w:tr>
      <w:tr>
        <w:trPr>
          <w:trHeight w:val="343" w:hRule="atLeast"/>
        </w:trPr>
        <w:tc>
          <w:tcPr>
            <w:tcW w:w="177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18"/>
                <w:szCs w:val="18"/>
                <w:lang w:eastAsia="pt-BR"/>
              </w:rPr>
              <w:t>208,494,900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2162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18"/>
                <w:szCs w:val="18"/>
                <w:lang w:eastAsia="pt-BR"/>
              </w:rPr>
              <w:t>187,246,979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  <w:lang w:val="pt-BR"/>
        </w:rPr>
        <w:t>¥ Census projections for the year 2018.</w:t>
      </w:r>
      <w:r>
        <w:rPr>
          <w:rFonts w:cs="Arial" w:ascii="Arial" w:hAnsi="Arial"/>
          <w:color w:val="FF0000"/>
          <w:sz w:val="16"/>
          <w:szCs w:val="16"/>
          <w:lang w:val="pt-BR"/>
        </w:rPr>
        <w:t xml:space="preserve">Reference:  Instituto Brasileiro de Geografia E Estatística. Projeções da População. Rio de Janeiro: IBGE. 2020. https://www.ibge.gov.br/estatisticas/sociais/populacao/9109-projecao-da-populacao.html?=&amp;t=resultados . </w:t>
      </w:r>
      <w:r>
        <w:rPr>
          <w:rFonts w:cs="Arial" w:ascii="Arial" w:hAnsi="Arial"/>
          <w:color w:val="FF0000"/>
          <w:sz w:val="16"/>
          <w:szCs w:val="16"/>
        </w:rPr>
        <w:t>Accessed 12 Jan 2023.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16"/>
          <w:szCs w:val="16"/>
        </w:rPr>
        <w:t xml:space="preserve">* Estimates of consumption in kcal for equivalent adults. </w:t>
      </w:r>
      <w:r>
        <w:rPr>
          <w:rFonts w:cs="Arial" w:ascii="Arial" w:hAnsi="Arial"/>
          <w:color w:val="FF0000"/>
          <w:sz w:val="16"/>
          <w:szCs w:val="16"/>
        </w:rPr>
        <w:t>Reference:  Claro RM, Levy RB, Bandoni DH, Mondini L. Per capita versus adult-equivalent estimates of calorie availability.  Cad Saude Publica. 2010 Nov;26(11):2188-95.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661c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f661ca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f699c"/>
    <w:rPr>
      <w:b/>
      <w:bCs/>
      <w:sz w:val="20"/>
      <w:szCs w:val="20"/>
    </w:rPr>
  </w:style>
  <w:style w:type="character" w:styleId="InternetLink">
    <w:name w:val="Internet Link"/>
    <w:basedOn w:val="DefaultParagraphFont"/>
    <w:uiPriority w:val="99"/>
    <w:unhideWhenUsed/>
    <w:rsid w:val="00af699c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f699c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9536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9536a"/>
    <w:rPr/>
  </w:style>
  <w:style w:type="character" w:styleId="Cf01" w:customStyle="1">
    <w:name w:val="cf01"/>
    <w:basedOn w:val="DefaultParagraphFont"/>
    <w:qFormat/>
    <w:rsid w:val="00c032db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a4aff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qFormat/>
    <w:rsid w:val="007b5fab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661ca"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76030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f699c"/>
    <w:pPr/>
    <w:rPr>
      <w:b/>
      <w:bCs/>
    </w:rPr>
  </w:style>
  <w:style w:type="paragraph" w:styleId="ListParagraph">
    <w:name w:val="List Paragraph"/>
    <w:basedOn w:val="Normal"/>
    <w:uiPriority w:val="34"/>
    <w:qFormat/>
    <w:rsid w:val="00404873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9536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9536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a4a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5">
    <w:name w:val="Plain Table 5"/>
    <w:basedOn w:val="Tabelanormal"/>
    <w:uiPriority w:val="45"/>
    <w:rsid w:val="00f661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f661ca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D896729BE0E408CA8D2F9512B1510" ma:contentTypeVersion="18" ma:contentTypeDescription="Create a new document." ma:contentTypeScope="" ma:versionID="7f9a67e135341b305469c482c495e9db">
  <xsd:schema xmlns:xsd="http://www.w3.org/2001/XMLSchema" xmlns:xs="http://www.w3.org/2001/XMLSchema" xmlns:p="http://schemas.microsoft.com/office/2006/metadata/properties" xmlns:ns3="8e3c2809-b418-4596-82d3-520d433dc18b" xmlns:ns4="cb9cb45a-5642-4339-b944-a4d0488189b7" targetNamespace="http://schemas.microsoft.com/office/2006/metadata/properties" ma:root="true" ma:fieldsID="a077ade77bd46d4a2ec6652c3e36368d" ns3:_="" ns4:_="">
    <xsd:import namespace="8e3c2809-b418-4596-82d3-520d433dc18b"/>
    <xsd:import namespace="cb9cb45a-5642-4339-b944-a4d0488189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c2809-b418-4596-82d3-520d433d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b45a-5642-4339-b944-a4d048818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3c2809-b418-4596-82d3-520d433dc18b" xsi:nil="true"/>
  </documentManagement>
</p:properties>
</file>

<file path=customXml/itemProps1.xml><?xml version="1.0" encoding="utf-8"?>
<ds:datastoreItem xmlns:ds="http://schemas.openxmlformats.org/officeDocument/2006/customXml" ds:itemID="{DFE79273-7813-47AD-BD79-AAA0EAAFCB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DD04C8-A015-41E5-8CAE-0AC6BA55B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c2809-b418-4596-82d3-520d433dc18b"/>
    <ds:schemaRef ds:uri="cb9cb45a-5642-4339-b944-a4d048818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8D400-24E8-490A-A44B-7EAE18250A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975D6B-E1D2-44DC-95C5-C878C0943044}">
  <ds:schemaRefs>
    <ds:schemaRef ds:uri="http://schemas.microsoft.com/office/2006/metadata/properties"/>
    <ds:schemaRef ds:uri="http://schemas.microsoft.com/office/infopath/2007/PartnerControls"/>
    <ds:schemaRef ds:uri="8e3c2809-b418-4596-82d3-520d433d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LibreOffice/6.3.3.2$Windows_X86_64 LibreOffice_project/a64200df03143b798afd1ec74a12ab50359878ed</Application>
  <Pages>1</Pages>
  <Words>190</Words>
  <Characters>1142</Characters>
  <CharactersWithSpaces>1263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2024-07-01T12:31:00Z</dcterms:created>
  <dc:creator>Thais Marquezine</dc:creator>
  <dc:description/>
  <dc:language>en-IN</dc:language>
  <cp:lastModifiedBy>Thais Marquezine</cp:lastModifiedBy>
  <cp:lastPrinted>2023-08-21T15:47:00Z</cp:lastPrinted>
  <dcterms:modified xsi:type="dcterms:W3CDTF">2024-07-01T12:33:00Z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0x010100794D896729BE0E408CA8D2F9512B1510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