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eastAsia="微软雅黑" w:cs="Times New Roman" w:ascii="Times New Roman" w:hAnsi="Times New Roman"/>
          <w:b/>
          <w:bCs/>
          <w:sz w:val="24"/>
          <w:szCs w:val="24"/>
        </w:rPr>
        <w:t>Supplementary Table1 fatty acids and matched internal standards</w:t>
      </w:r>
    </w:p>
    <w:tbl>
      <w:tblPr>
        <w:tblStyle w:val="a7"/>
        <w:tblW w:w="86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2694"/>
        <w:gridCol w:w="2272"/>
        <w:gridCol w:w="1979"/>
      </w:tblGrid>
      <w:tr>
        <w:trPr/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420" w:hanging="420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Fatty acids</w:t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Ion pair</w:t>
            </w:r>
          </w:p>
        </w:tc>
        <w:tc>
          <w:tcPr>
            <w:tcW w:w="2272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internal standards</w:t>
            </w:r>
          </w:p>
        </w:tc>
        <w:tc>
          <w:tcPr>
            <w:tcW w:w="197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Ion pair</w:t>
            </w:r>
          </w:p>
        </w:tc>
      </w:tr>
      <w:tr>
        <w:trPr/>
        <w:tc>
          <w:tcPr>
            <w:tcW w:w="169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MA</w:t>
            </w: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227.2&gt;227.21</w:t>
            </w:r>
          </w:p>
        </w:tc>
        <w:tc>
          <w:tcPr>
            <w:tcW w:w="227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DHA-IS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332.296&gt;288.323</w:t>
            </w:r>
          </w:p>
        </w:tc>
      </w:tr>
      <w:tr>
        <w:trPr/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POA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253.2&gt;253.21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DHA-IS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332.296&gt;288.323</w:t>
            </w:r>
          </w:p>
        </w:tc>
      </w:tr>
      <w:tr>
        <w:trPr/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LA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279.2&gt;279.21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DGLA-IS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311.31&gt;311.31</w:t>
            </w:r>
          </w:p>
        </w:tc>
      </w:tr>
      <w:tr>
        <w:trPr/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ARA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303.336&gt;205.254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DHA-IS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332.296&gt;288.323</w:t>
            </w:r>
          </w:p>
        </w:tc>
      </w:tr>
      <w:tr>
        <w:trPr/>
        <w:tc>
          <w:tcPr>
            <w:tcW w:w="169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OA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281.2&gt;281.2</w:t>
            </w:r>
          </w:p>
        </w:tc>
        <w:tc>
          <w:tcPr>
            <w:tcW w:w="227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D3-PA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258.2&gt;258.2</w:t>
            </w:r>
          </w:p>
        </w:tc>
      </w:tr>
    </w:tbl>
    <w:p>
      <w:pPr>
        <w:pStyle w:val="Normal"/>
        <w:widowControl/>
        <w:spacing w:lineRule="auto" w:line="288"/>
        <w:jc w:val="left"/>
        <w:rPr>
          <w:rFonts w:ascii="Times New Roman" w:hAnsi="Times New Roman" w:eastAsia="宋体"/>
          <w:szCs w:val="21"/>
        </w:rPr>
      </w:pPr>
      <w:r>
        <w:rPr>
          <w:rFonts w:eastAsia="宋体" w:ascii="Times New Roman" w:hAnsi="Times New Roman"/>
          <w:szCs w:val="21"/>
        </w:rPr>
        <w:t xml:space="preserve">MA: myristic acid, POA: </w:t>
      </w:r>
      <w:r>
        <w:rPr>
          <w:rFonts w:cs="Times New Roman" w:ascii="Times New Roman" w:hAnsi="Times New Roman"/>
        </w:rPr>
        <w:t>palmitoleic acid</w:t>
      </w:r>
      <w:r>
        <w:rPr>
          <w:rFonts w:eastAsia="宋体" w:ascii="Times New Roman" w:hAnsi="Times New Roman"/>
          <w:szCs w:val="21"/>
        </w:rPr>
        <w:t>, LA: linoleic acid, ARA: arachidonic acid, OA: oleic acid. DHA: docosahexaenoic acid, DGLA: dihomo-γ-linolenic acid, PA: palmitic acid.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pacing w:lineRule="auto" w:line="360"/>
        <w:jc w:val="center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eastAsia="微软雅黑" w:cs="Times New Roman" w:ascii="Times New Roman" w:hAnsi="Times New Roman"/>
          <w:b/>
          <w:bCs/>
          <w:sz w:val="24"/>
          <w:szCs w:val="24"/>
        </w:rPr>
        <w:t>Supplementary Table2 bile acids and matched internal standards</w:t>
      </w:r>
    </w:p>
    <w:tbl>
      <w:tblPr>
        <w:tblStyle w:val="a7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4"/>
        <w:gridCol w:w="1749"/>
        <w:gridCol w:w="2403"/>
        <w:gridCol w:w="2273"/>
      </w:tblGrid>
      <w:tr>
        <w:trPr/>
        <w:tc>
          <w:tcPr>
            <w:tcW w:w="2074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Bile acids</w:t>
            </w:r>
          </w:p>
        </w:tc>
        <w:tc>
          <w:tcPr>
            <w:tcW w:w="1749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Ion pair</w:t>
            </w:r>
          </w:p>
        </w:tc>
        <w:tc>
          <w:tcPr>
            <w:tcW w:w="2403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Internal standards</w:t>
            </w:r>
          </w:p>
        </w:tc>
        <w:tc>
          <w:tcPr>
            <w:tcW w:w="2273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Ion pair</w:t>
            </w:r>
          </w:p>
        </w:tc>
      </w:tr>
      <w:tr>
        <w:trPr/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TCDCA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498.3&gt;80.1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D5-TCDCA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503.3&gt;79.9</w:t>
            </w:r>
          </w:p>
        </w:tc>
      </w:tr>
      <w:tr>
        <w:trPr/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GCDCA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448.3&gt;73.95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D5-GDCA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453.3&gt;73.95</w:t>
            </w:r>
          </w:p>
        </w:tc>
      </w:tr>
      <w:tr>
        <w:trPr/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GCA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464.3&gt;73.95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D5-GCA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469.3&gt;73.95</w:t>
            </w:r>
          </w:p>
        </w:tc>
      </w:tr>
      <w:tr>
        <w:trPr/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TCA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514.35&gt;80.01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D5-TCA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519.3&gt;79.9</w:t>
            </w:r>
          </w:p>
        </w:tc>
      </w:tr>
      <w:tr>
        <w:trPr/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GHCA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464.3&gt;74.1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D4-GLCA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436.3&gt;74.1</w:t>
            </w:r>
          </w:p>
        </w:tc>
      </w:tr>
      <w:tr>
        <w:trPr/>
        <w:tc>
          <w:tcPr>
            <w:tcW w:w="2074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THCA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514.0&gt;80.0</w:t>
            </w:r>
          </w:p>
        </w:tc>
        <w:tc>
          <w:tcPr>
            <w:tcW w:w="240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D4-TCA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518.3&gt;80.0</w:t>
            </w:r>
          </w:p>
        </w:tc>
      </w:tr>
    </w:tbl>
    <w:p>
      <w:pPr>
        <w:pStyle w:val="Normal"/>
        <w:rPr>
          <w:rFonts w:ascii="Times New Roman" w:hAnsi="Times New Roman" w:eastAsia="宋体"/>
          <w:szCs w:val="21"/>
        </w:rPr>
      </w:pPr>
      <w:r>
        <w:rPr>
          <w:rFonts w:eastAsia="宋体" w:ascii="Times New Roman" w:hAnsi="Times New Roman"/>
          <w:szCs w:val="21"/>
        </w:rPr>
        <w:t>GCDCA: glycochenodeoxycholic acid, TCDCA: taurochenodeoxycholic acid, GCA: glycocholic acid, TCA: taurocholic acid, GHCA: glycohyocholic acid, THCA: taurohyocholate.</w:t>
      </w:r>
    </w:p>
    <w:p>
      <w:pPr>
        <w:pStyle w:val="Normal"/>
        <w:widowControl/>
        <w:jc w:val="left"/>
        <w:rPr>
          <w:rFonts w:ascii="Times New Roman" w:hAnsi="Times New Roman" w:eastAsia="宋体"/>
          <w:szCs w:val="21"/>
        </w:rPr>
      </w:pPr>
      <w:r>
        <w:rPr>
          <w:rFonts w:eastAsia="宋体" w:ascii="Times New Roman" w:hAnsi="Times New Roman"/>
          <w:szCs w:val="21"/>
        </w:rPr>
      </w:r>
      <w:r>
        <w:br w:type="page"/>
      </w:r>
    </w:p>
    <w:p>
      <w:pPr>
        <w:pStyle w:val="Normal"/>
        <w:spacing w:lineRule="auto" w:line="360"/>
        <w:jc w:val="center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eastAsia="微软雅黑" w:cs="Times New Roman" w:ascii="Times New Roman" w:hAnsi="Times New Roman"/>
          <w:b/>
          <w:bCs/>
          <w:sz w:val="24"/>
          <w:szCs w:val="24"/>
        </w:rPr>
        <w:t>Supplementary Table3 The extraction recovery of GHCA, THCA, and HCA</w:t>
      </w:r>
    </w:p>
    <w:tbl>
      <w:tblPr>
        <w:tblStyle w:val="a7"/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3"/>
        <w:gridCol w:w="1454"/>
        <w:gridCol w:w="1647"/>
        <w:gridCol w:w="1650"/>
        <w:gridCol w:w="1652"/>
      </w:tblGrid>
      <w:tr>
        <w:trPr/>
        <w:tc>
          <w:tcPr>
            <w:tcW w:w="1903" w:type="dxa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Bile acids</w:t>
            </w:r>
          </w:p>
        </w:tc>
        <w:tc>
          <w:tcPr>
            <w:tcW w:w="6403" w:type="dxa"/>
            <w:gridSpan w:val="4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Extraction recovery</w:t>
            </w:r>
            <w:r>
              <w:rPr>
                <w:rFonts w:ascii="Times New Roman" w:hAnsi="Times New Roman" w:cs="" w:eastAsia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ascii="Times New Roman" w:hAnsi="Times New Roman" w:cs="" w:eastAsia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Low concentration</w:t>
            </w:r>
          </w:p>
        </w:tc>
        <w:tc>
          <w:tcPr>
            <w:tcW w:w="164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Median concentration</w:t>
            </w:r>
          </w:p>
        </w:tc>
        <w:tc>
          <w:tcPr>
            <w:tcW w:w="165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High concentration-1</w:t>
            </w:r>
          </w:p>
        </w:tc>
        <w:tc>
          <w:tcPr>
            <w:tcW w:w="1652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High concentration-2</w:t>
            </w:r>
          </w:p>
        </w:tc>
      </w:tr>
      <w:tr>
        <w:trPr/>
        <w:tc>
          <w:tcPr>
            <w:tcW w:w="190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GHCA</w:t>
            </w:r>
          </w:p>
        </w:tc>
        <w:tc>
          <w:tcPr>
            <w:tcW w:w="145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70.34</w:t>
            </w: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84.55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84.01</w:t>
            </w:r>
          </w:p>
        </w:tc>
        <w:tc>
          <w:tcPr>
            <w:tcW w:w="165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80.67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76.58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86.10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83.47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85.54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70.98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80.40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85.62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86.63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71.09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80.88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82.08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87.99</w:t>
            </w:r>
          </w:p>
        </w:tc>
      </w:tr>
      <w:tr>
        <w:trPr/>
        <w:tc>
          <w:tcPr>
            <w:tcW w:w="19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THCA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74.47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88.02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85.56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80.81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80.64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89.65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84.15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87.74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74.13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83.87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84.46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87.77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76.83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87.12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85.20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89.11</w:t>
            </w:r>
          </w:p>
        </w:tc>
      </w:tr>
      <w:tr>
        <w:trPr/>
        <w:tc>
          <w:tcPr>
            <w:tcW w:w="19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HCA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70.24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81.87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80.44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80.52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77.08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83.14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80.41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80.85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73.58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80.15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80.26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82.01</w:t>
            </w:r>
          </w:p>
        </w:tc>
      </w:tr>
      <w:tr>
        <w:trPr/>
        <w:tc>
          <w:tcPr>
            <w:tcW w:w="1903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74.92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81.05</w:t>
            </w:r>
          </w:p>
        </w:tc>
        <w:tc>
          <w:tcPr>
            <w:tcW w:w="165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80.79</w:t>
            </w:r>
          </w:p>
        </w:tc>
        <w:tc>
          <w:tcPr>
            <w:tcW w:w="165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84.94</w:t>
            </w:r>
          </w:p>
        </w:tc>
      </w:tr>
    </w:tbl>
    <w:p>
      <w:pPr>
        <w:pStyle w:val="Normal"/>
        <w:spacing w:lineRule="auto" w:line="288"/>
        <w:rPr>
          <w:rFonts w:ascii="Times New Roman" w:hAnsi="Times New Roman" w:eastAsia="宋体"/>
          <w:szCs w:val="21"/>
        </w:rPr>
      </w:pPr>
      <w:r>
        <w:rPr>
          <w:rFonts w:eastAsia="宋体" w:ascii="Times New Roman" w:hAnsi="Times New Roman"/>
          <w:szCs w:val="21"/>
        </w:rPr>
        <w:t xml:space="preserve">Each concentration was repeated 4 times in parallel.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eastAsia="微软雅黑" w:cs="Times New Roman" w:ascii="Times New Roman" w:hAnsi="Times New Roman"/>
          <w:b/>
          <w:bCs/>
          <w:sz w:val="24"/>
          <w:szCs w:val="24"/>
        </w:rPr>
        <w:t>Supplementary Table4 The precision and accuracy of GHCA</w:t>
      </w:r>
    </w:p>
    <w:tbl>
      <w:tblPr>
        <w:tblStyle w:val="a7"/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8"/>
        <w:gridCol w:w="1201"/>
        <w:gridCol w:w="1191"/>
        <w:gridCol w:w="1194"/>
        <w:gridCol w:w="1198"/>
        <w:gridCol w:w="1083"/>
      </w:tblGrid>
      <w:tr>
        <w:trPr>
          <w:trHeight w:val="468" w:hRule="atLeast"/>
        </w:trPr>
        <w:tc>
          <w:tcPr>
            <w:tcW w:w="243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Concentration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nmol/L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20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High </w:t>
            </w:r>
          </w:p>
        </w:tc>
        <w:tc>
          <w:tcPr>
            <w:tcW w:w="119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Median</w:t>
            </w:r>
          </w:p>
        </w:tc>
        <w:tc>
          <w:tcPr>
            <w:tcW w:w="119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Low</w:t>
            </w:r>
          </w:p>
        </w:tc>
        <w:tc>
          <w:tcPr>
            <w:tcW w:w="119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LOQ</w:t>
            </w:r>
          </w:p>
        </w:tc>
        <w:tc>
          <w:tcPr>
            <w:tcW w:w="1083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LOD</w:t>
            </w:r>
          </w:p>
        </w:tc>
      </w:tr>
      <w:tr>
        <w:trPr>
          <w:trHeight w:val="468" w:hRule="atLeast"/>
        </w:trPr>
        <w:tc>
          <w:tcPr>
            <w:tcW w:w="2438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Measuring concentration</w:t>
            </w:r>
          </w:p>
        </w:tc>
        <w:tc>
          <w:tcPr>
            <w:tcW w:w="120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359.7</w:t>
            </w: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52.0</w:t>
            </w:r>
          </w:p>
        </w:tc>
        <w:tc>
          <w:tcPr>
            <w:tcW w:w="119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5.27</w:t>
            </w: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0.48</w:t>
            </w:r>
          </w:p>
        </w:tc>
        <w:tc>
          <w:tcPr>
            <w:tcW w:w="108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346.3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48.3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5.51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359.6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46.8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5.63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348.6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47.4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5.55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0.51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360.7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49.4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5.36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349.3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46.1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5.62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Theoretical concentration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6.25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</w:tr>
      <w:tr>
        <w:trPr>
          <w:trHeight w:val="468" w:hRule="atLeast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Average concentration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354.0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45.5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5.52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Accuracy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88.5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96.7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87.8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90.7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RSD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1.87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4.39</w:t>
            </w:r>
          </w:p>
        </w:tc>
        <w:tc>
          <w:tcPr>
            <w:tcW w:w="119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2.34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7.36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3.71</w:t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eastAsia="微软雅黑" w:cs="Times New Roman" w:ascii="Times New Roman" w:hAnsi="Times New Roman"/>
          <w:b/>
          <w:bCs/>
          <w:sz w:val="24"/>
          <w:szCs w:val="24"/>
        </w:rPr>
        <w:t>Supplementary Table5 The precision and accuracy of THCA</w:t>
      </w:r>
    </w:p>
    <w:tbl>
      <w:tblPr>
        <w:tblStyle w:val="a7"/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3"/>
        <w:gridCol w:w="1204"/>
        <w:gridCol w:w="1195"/>
        <w:gridCol w:w="1172"/>
        <w:gridCol w:w="1202"/>
        <w:gridCol w:w="1089"/>
      </w:tblGrid>
      <w:tr>
        <w:trPr>
          <w:trHeight w:val="468" w:hRule="atLeast"/>
        </w:trPr>
        <w:tc>
          <w:tcPr>
            <w:tcW w:w="2443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Concentration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nmol/L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20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High</w:t>
            </w:r>
          </w:p>
        </w:tc>
        <w:tc>
          <w:tcPr>
            <w:tcW w:w="1195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Median</w:t>
            </w:r>
          </w:p>
        </w:tc>
        <w:tc>
          <w:tcPr>
            <w:tcW w:w="1172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Low</w:t>
            </w:r>
          </w:p>
        </w:tc>
        <w:tc>
          <w:tcPr>
            <w:tcW w:w="1202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LOQ</w:t>
            </w:r>
          </w:p>
        </w:tc>
        <w:tc>
          <w:tcPr>
            <w:tcW w:w="108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LOD</w:t>
            </w:r>
          </w:p>
        </w:tc>
      </w:tr>
      <w:tr>
        <w:trPr>
          <w:trHeight w:val="468" w:hRule="atLeast"/>
        </w:trPr>
        <w:tc>
          <w:tcPr>
            <w:tcW w:w="2443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Measuring concentration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343.2</w:t>
            </w:r>
          </w:p>
        </w:tc>
        <w:tc>
          <w:tcPr>
            <w:tcW w:w="119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49.2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5.4</w:t>
            </w:r>
          </w:p>
        </w:tc>
        <w:tc>
          <w:tcPr>
            <w:tcW w:w="120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0.45</w:t>
            </w:r>
          </w:p>
        </w:tc>
        <w:tc>
          <w:tcPr>
            <w:tcW w:w="108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4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342.7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45.5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4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351.5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44.5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0.43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4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336.4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44.7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4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339.2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44.9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0.47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43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346.8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44.1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Theoretical concentration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6.25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0.5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</w:tr>
      <w:tr>
        <w:trPr>
          <w:trHeight w:val="468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Average concentration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343.3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45.5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0.46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Accuracy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85.8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91.0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87.7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89.0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4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RSD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20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1.56</w:t>
            </w:r>
          </w:p>
        </w:tc>
        <w:tc>
          <w:tcPr>
            <w:tcW w:w="119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4.11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2.01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3.26</w:t>
            </w:r>
          </w:p>
        </w:tc>
        <w:tc>
          <w:tcPr>
            <w:tcW w:w="108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5.78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eastAsia="微软雅黑" w:cs="Times New Roman" w:ascii="Times New Roman" w:hAnsi="Times New Roman"/>
          <w:b/>
          <w:bCs/>
          <w:sz w:val="24"/>
          <w:szCs w:val="24"/>
        </w:rPr>
        <w:t>Supplementary Table6 The precision and accuracy of HCA</w:t>
      </w:r>
    </w:p>
    <w:tbl>
      <w:tblPr>
        <w:tblStyle w:val="a7"/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32"/>
        <w:gridCol w:w="1197"/>
        <w:gridCol w:w="1214"/>
        <w:gridCol w:w="1189"/>
        <w:gridCol w:w="1196"/>
        <w:gridCol w:w="1077"/>
      </w:tblGrid>
      <w:tr>
        <w:trPr>
          <w:trHeight w:val="468" w:hRule="atLeast"/>
        </w:trPr>
        <w:tc>
          <w:tcPr>
            <w:tcW w:w="2432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Concentration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nmol/L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19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High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Median</w:t>
            </w:r>
          </w:p>
        </w:tc>
        <w:tc>
          <w:tcPr>
            <w:tcW w:w="118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Low</w:t>
            </w:r>
          </w:p>
        </w:tc>
        <w:tc>
          <w:tcPr>
            <w:tcW w:w="1196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LOQ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LOD</w:t>
            </w:r>
          </w:p>
        </w:tc>
      </w:tr>
      <w:tr>
        <w:trPr>
          <w:trHeight w:val="468" w:hRule="atLeast"/>
        </w:trPr>
        <w:tc>
          <w:tcPr>
            <w:tcW w:w="243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Measuring concentration</w:t>
            </w:r>
          </w:p>
        </w:tc>
        <w:tc>
          <w:tcPr>
            <w:tcW w:w="119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327.1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42.9</w:t>
            </w:r>
          </w:p>
        </w:tc>
        <w:tc>
          <w:tcPr>
            <w:tcW w:w="118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5.75</w:t>
            </w: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0.42</w:t>
            </w: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321.9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41.5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5.53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343.1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40.3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5.66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353.4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40.9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5.43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324.8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43.7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5.48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2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330.3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42.2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5.54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Theoretical concentration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6.25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</w:tr>
      <w:tr>
        <w:trPr>
          <w:trHeight w:val="468" w:hRule="atLeast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Average concentration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333.4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41.92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5.56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Accuracy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83.4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88.7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rPr>
          <w:trHeight w:val="468" w:hRule="atLeast"/>
        </w:trPr>
        <w:tc>
          <w:tcPr>
            <w:tcW w:w="243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RSD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ascii="Times New Roman" w:hAnsi="Times New Roman" w:cs="" w:eastAsia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1.78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3.06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2.14</w:t>
            </w: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3.83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6.19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800" w:right="1800" w:gutter="0" w:header="0" w:top="1440" w:footer="992" w:bottom="1440"/>
          <w:pgNumType w:fmt="decimal"/>
          <w:formProt w:val="false"/>
          <w:textDirection w:val="lrTb"/>
          <w:docGrid w:type="lines" w:linePitch="312" w:charSpace="6143"/>
        </w:sectPr>
      </w:pPr>
    </w:p>
    <w:p>
      <w:pPr>
        <w:pStyle w:val="Normal"/>
        <w:widowControl/>
        <w:spacing w:lineRule="auto" w:line="360"/>
        <w:ind w:firstLine="480"/>
        <w:jc w:val="center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eastAsia="微软雅黑" w:cs="Times New Roman" w:ascii="Times New Roman" w:hAnsi="Times New Roman"/>
          <w:b/>
          <w:bCs/>
          <w:sz w:val="24"/>
          <w:szCs w:val="24"/>
        </w:rPr>
        <w:t>Supplementary Table7 Therapeutic regimes of each patient in the ATB-DILI group</w:t>
      </w:r>
    </w:p>
    <w:tbl>
      <w:tblPr>
        <w:tblStyle w:val="a7"/>
        <w:tblW w:w="143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1417"/>
        <w:gridCol w:w="998"/>
        <w:gridCol w:w="1554"/>
        <w:gridCol w:w="2840"/>
        <w:gridCol w:w="3963"/>
        <w:gridCol w:w="2415"/>
      </w:tblGrid>
      <w:tr>
        <w:trPr/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bookmarkStart w:id="0" w:name="_Hlk95479075"/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Patients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Age(years)</w:t>
            </w:r>
          </w:p>
        </w:tc>
        <w:tc>
          <w:tcPr>
            <w:tcW w:w="99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gender</w:t>
            </w:r>
          </w:p>
        </w:tc>
        <w:tc>
          <w:tcPr>
            <w:tcW w:w="1554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diagnosis</w:t>
            </w:r>
          </w:p>
        </w:tc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Initial therapeutic regimes</w:t>
            </w:r>
          </w:p>
        </w:tc>
        <w:tc>
          <w:tcPr>
            <w:tcW w:w="3963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Clinical interventions after 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ATB-DILI</w:t>
            </w:r>
          </w:p>
        </w:tc>
        <w:tc>
          <w:tcPr>
            <w:tcW w:w="2415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Restart therapeutic regimes</w:t>
            </w:r>
          </w:p>
        </w:tc>
      </w:tr>
      <w:tr>
        <w:trPr/>
        <w:tc>
          <w:tcPr>
            <w:tcW w:w="112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99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male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RIF, EMB, PZA</w:t>
            </w:r>
          </w:p>
        </w:tc>
        <w:tc>
          <w:tcPr>
            <w:tcW w:w="396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all anti-TB drugs</w:t>
            </w:r>
          </w:p>
        </w:tc>
        <w:tc>
          <w:tcPr>
            <w:tcW w:w="241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none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female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all anti-TB drugs for 3 weeks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EMB, LFX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female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RIF,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all anti-TB drugs for 2 weeks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EPTB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RIF,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all anti-TB drugs for 2 weeks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EMB, LFX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female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EPTB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all anti-TB drugs for 2 weeks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PZA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female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RIF,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all anti-TB drugs for 2 weeks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PZA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female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PTB, EPTB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RIF,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PZA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female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RIF,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PZA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RFP,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female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RIF,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PZA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RFP,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female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RFT,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PZA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RFP,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female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EPTB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RIF, EMB, PZA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PZA</w:t>
            </w:r>
            <w:r>
              <w:rPr>
                <w:rFonts w:ascii="Times New Roman" w:hAnsi="Times New Roman" w:cs="" w:eastAsia="宋体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RIF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EMB</w:t>
            </w:r>
          </w:p>
        </w:tc>
      </w:tr>
      <w:tr>
        <w:trPr/>
        <w:tc>
          <w:tcPr>
            <w:tcW w:w="112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P14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male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PTB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ind w:left="120" w:hanging="12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INH, RIF, EMB, PZA for the first two months and PTO, MFX, RFT, PZA for the next two months</w:t>
            </w:r>
          </w:p>
        </w:tc>
        <w:tc>
          <w:tcPr>
            <w:tcW w:w="396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Stopped all anti-TB drugs for 2 weeks</w:t>
            </w:r>
          </w:p>
        </w:tc>
        <w:tc>
          <w:tcPr>
            <w:tcW w:w="2415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PTO, MFX, RFT</w:t>
            </w:r>
            <w:r>
              <w:rPr>
                <w:rFonts w:ascii="Times New Roman" w:hAnsi="Times New Roman" w:cs="" w:eastAsia="宋体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LZD</w:t>
            </w:r>
            <w:bookmarkEnd w:id="0"/>
          </w:p>
        </w:tc>
      </w:tr>
    </w:tbl>
    <w:p>
      <w:pPr>
        <w:pStyle w:val="Normal"/>
        <w:rPr>
          <w:rFonts w:ascii="Times New Roman" w:hAnsi="Times New Roman" w:eastAsia="宋体"/>
          <w:sz w:val="24"/>
          <w:szCs w:val="24"/>
        </w:rPr>
      </w:pPr>
      <w:r>
        <w:rPr>
          <w:rFonts w:eastAsia="宋体" w:ascii="Times New Roman" w:hAnsi="Times New Roman"/>
          <w:sz w:val="24"/>
          <w:szCs w:val="24"/>
        </w:rPr>
        <w:t>PTB: pulmonary tuberculosis, EPTB: extrapulmonary tuberculosis, INH: isoniazid, RIF: rifampin, RFT: rifapentine, EMB: ethambutol, PZA: pyrazinamide, LFX: levofloxacin, MFX: moxifloxacin, PTO: prothionamide, LZD: linezolid.</w:t>
      </w:r>
    </w:p>
    <w:p>
      <w:pPr>
        <w:pStyle w:val="Normal"/>
        <w:rPr>
          <w:rFonts w:ascii="Times New Roman" w:hAnsi="Times New Roman" w:eastAsia="宋体"/>
          <w:sz w:val="24"/>
          <w:szCs w:val="24"/>
        </w:rPr>
      </w:pPr>
      <w:r>
        <w:rPr>
          <w:rFonts w:eastAsia="宋体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宋体"/>
          <w:sz w:val="24"/>
          <w:szCs w:val="24"/>
        </w:rPr>
      </w:pPr>
      <w:r>
        <w:rPr>
          <w:rFonts w:eastAsia="宋体" w:ascii="Times New Roman" w:hAnsi="Times New Roman"/>
          <w:sz w:val="24"/>
          <w:szCs w:val="24"/>
        </w:rPr>
      </w:r>
    </w:p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1440" w:right="1440" w:gutter="0" w:header="0" w:top="1797" w:footer="992" w:bottom="1797"/>
          <w:pgNumType w:fmt="decimal"/>
          <w:formProt w:val="false"/>
          <w:textDirection w:val="lrTb"/>
          <w:docGrid w:type="lines" w:linePitch="312" w:charSpace="6143"/>
        </w:sectPr>
        <w:pStyle w:val="Normal"/>
        <w:rPr>
          <w:rFonts w:ascii="Times New Roman" w:hAnsi="Times New Roman" w:eastAsia="宋体"/>
          <w:sz w:val="24"/>
          <w:szCs w:val="24"/>
        </w:rPr>
      </w:pPr>
      <w:r>
        <w:rPr>
          <w:rFonts w:eastAsia="宋体" w:ascii="Times New Roman" w:hAnsi="Times New Roman"/>
          <w:sz w:val="24"/>
          <w:szCs w:val="24"/>
        </w:rPr>
      </w:r>
    </w:p>
    <w:p>
      <w:pPr>
        <w:pStyle w:val="Normal"/>
        <w:widowControl/>
        <w:jc w:val="center"/>
        <w:rPr/>
      </w:pPr>
      <w:r>
        <w:rPr>
          <w:rFonts w:eastAsia="微软雅黑" w:cs="Times New Roman" w:ascii="Times New Roman" w:hAnsi="Times New Roman"/>
          <w:b/>
          <w:bCs/>
          <w:sz w:val="24"/>
          <w:szCs w:val="24"/>
        </w:rPr>
        <w:t>Supplementary Table8 Sample compositions of the discovery cohort</w:t>
      </w:r>
    </w:p>
    <w:tbl>
      <w:tblPr>
        <w:tblStyle w:val="a7"/>
        <w:tblW w:w="83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49"/>
        <w:gridCol w:w="1051"/>
        <w:gridCol w:w="1052"/>
        <w:gridCol w:w="1050"/>
        <w:gridCol w:w="1051"/>
        <w:gridCol w:w="1052"/>
      </w:tblGrid>
      <w:tr>
        <w:trPr/>
        <w:tc>
          <w:tcPr>
            <w:tcW w:w="3049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group</w:t>
            </w:r>
          </w:p>
        </w:tc>
        <w:tc>
          <w:tcPr>
            <w:tcW w:w="105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T1</w:t>
            </w:r>
          </w:p>
        </w:tc>
        <w:tc>
          <w:tcPr>
            <w:tcW w:w="1052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T2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T3</w:t>
            </w:r>
          </w:p>
        </w:tc>
        <w:tc>
          <w:tcPr>
            <w:tcW w:w="105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T4</w:t>
            </w:r>
          </w:p>
        </w:tc>
        <w:tc>
          <w:tcPr>
            <w:tcW w:w="1052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T5</w:t>
            </w:r>
          </w:p>
        </w:tc>
      </w:tr>
      <w:tr>
        <w:trPr/>
        <w:tc>
          <w:tcPr>
            <w:tcW w:w="304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ATB-DILI group (n=9)</w:t>
            </w: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rPr/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ATB-Ctrl group (n=9)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</w:tr>
      <w:tr>
        <w:trPr/>
        <w:tc>
          <w:tcPr>
            <w:tcW w:w="3049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HC group (n=18)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eastAsia="宋体" w:cs="" w:ascii="Times New Roman" w:hAnsi="Times New Roman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</w:tbl>
    <w:p>
      <w:pPr>
        <w:pStyle w:val="Normal"/>
        <w:widowControl/>
        <w:spacing w:lineRule="auto" w:line="288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eastAsia="宋体" w:ascii="Times New Roman" w:hAnsi="Times New Roman"/>
          <w:sz w:val="24"/>
          <w:szCs w:val="24"/>
        </w:rPr>
        <w:t xml:space="preserve">ATB-DILI group: T1: baseline, T2: one-third course, T3: two-third course, T4: timepoint of ATB-DILI occurrence, T5: recovery </w:t>
      </w:r>
      <w:r>
        <w:rPr>
          <w:rFonts w:cs="Times New Roman" w:ascii="Times New Roman" w:hAnsi="Times New Roman"/>
          <w:sz w:val="24"/>
          <w:szCs w:val="28"/>
        </w:rPr>
        <w:t>period</w:t>
      </w:r>
      <w:r>
        <w:rPr>
          <w:rFonts w:eastAsia="宋体" w:ascii="Times New Roman" w:hAnsi="Times New Roman"/>
          <w:sz w:val="24"/>
          <w:szCs w:val="24"/>
        </w:rPr>
        <w:t>.</w:t>
      </w:r>
    </w:p>
    <w:p>
      <w:pPr>
        <w:pStyle w:val="Normal"/>
        <w:widowControl/>
        <w:spacing w:lineRule="auto" w:line="288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eastAsia="宋体" w:ascii="Times New Roman" w:hAnsi="Times New Roman"/>
          <w:sz w:val="24"/>
          <w:szCs w:val="24"/>
        </w:rPr>
        <w:t>ATB-Ctrl group: T1: baseline, T2: 2W after medication, T3: 4W after medication, T4: 6W after medication, T5: 8W after medication.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pacing w:lineRule="auto" w:line="360"/>
        <w:jc w:val="center"/>
        <w:rPr>
          <w:rFonts w:ascii="Times New Roman" w:hAnsi="Times New Roman" w:eastAsia="微软雅黑" w:cs="Times New Roman"/>
          <w:b/>
          <w:bCs/>
          <w:sz w:val="24"/>
          <w:szCs w:val="24"/>
        </w:rPr>
      </w:pPr>
      <w:r>
        <w:rPr>
          <w:rFonts w:eastAsia="微软雅黑" w:cs="Times New Roman" w:ascii="Times New Roman" w:hAnsi="Times New Roman"/>
          <w:b/>
          <w:bCs/>
          <w:sz w:val="24"/>
          <w:szCs w:val="24"/>
        </w:rPr>
        <w:t>Supplementary Table9 Fold change and p value of candidate biomarkers</w:t>
      </w:r>
    </w:p>
    <w:tbl>
      <w:tblPr>
        <w:tblStyle w:val="a7"/>
        <w:tblW w:w="83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17"/>
        <w:gridCol w:w="1187"/>
        <w:gridCol w:w="851"/>
        <w:gridCol w:w="1038"/>
        <w:gridCol w:w="247"/>
        <w:gridCol w:w="700"/>
        <w:gridCol w:w="991"/>
        <w:gridCol w:w="284"/>
        <w:gridCol w:w="850"/>
        <w:gridCol w:w="993"/>
      </w:tblGrid>
      <w:tr>
        <w:trPr/>
        <w:tc>
          <w:tcPr>
            <w:tcW w:w="240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Candidate biomarkers</w:t>
            </w:r>
          </w:p>
        </w:tc>
        <w:tc>
          <w:tcPr>
            <w:tcW w:w="1889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ATB-DILI T4/T1</w:t>
            </w:r>
          </w:p>
        </w:tc>
        <w:tc>
          <w:tcPr>
            <w:tcW w:w="24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691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ATB-DILI T4/</w:t>
            </w:r>
          </w:p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ATB-Ctrl T4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eastAsia="宋体" w:cs="" w:ascii="Times New Roman" w:hAnsi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ATB-DILI T4/HC</w:t>
            </w:r>
          </w:p>
        </w:tc>
      </w:tr>
      <w:tr>
        <w:trPr/>
        <w:tc>
          <w:tcPr>
            <w:tcW w:w="2404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FC</w:t>
            </w:r>
          </w:p>
        </w:tc>
        <w:tc>
          <w:tcPr>
            <w:tcW w:w="1038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i/>
                <w:i/>
                <w:iCs/>
                <w:szCs w:val="21"/>
              </w:rPr>
            </w:pPr>
            <w:r>
              <w:rPr>
                <w:rFonts w:eastAsia="宋体" w:cs="" w:ascii="Times New Roman" w:hAnsi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24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FC</w:t>
            </w:r>
          </w:p>
        </w:tc>
        <w:tc>
          <w:tcPr>
            <w:tcW w:w="991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i/>
                <w:i/>
                <w:iCs/>
                <w:szCs w:val="21"/>
              </w:rPr>
            </w:pPr>
            <w:r>
              <w:rPr>
                <w:rFonts w:eastAsia="宋体" w:cs="" w:ascii="Times New Roman" w:hAnsi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FC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eastAsia="宋体"/>
                <w:i/>
                <w:i/>
                <w:iCs/>
                <w:szCs w:val="21"/>
              </w:rPr>
            </w:pPr>
            <w:r>
              <w:rPr>
                <w:rFonts w:eastAsia="宋体" w:cs="" w:ascii="Times New Roman" w:hAnsi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  <w:t>p</w:t>
            </w:r>
          </w:p>
        </w:tc>
      </w:tr>
      <w:tr>
        <w:trPr/>
        <w:tc>
          <w:tcPr>
            <w:tcW w:w="121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Bile acids</w:t>
            </w:r>
          </w:p>
        </w:tc>
        <w:tc>
          <w:tcPr>
            <w:tcW w:w="118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THCA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20.73</w:t>
            </w:r>
          </w:p>
        </w:tc>
        <w:tc>
          <w:tcPr>
            <w:tcW w:w="103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4.36E-10</w:t>
            </w:r>
          </w:p>
        </w:tc>
        <w:tc>
          <w:tcPr>
            <w:tcW w:w="24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3.7</w:t>
            </w:r>
          </w:p>
        </w:tc>
        <w:tc>
          <w:tcPr>
            <w:tcW w:w="991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0.0102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27.75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eastAsia="等线" w:cs="Times New Roman" w:ascii="Times New Roman" w:hAnsi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1.30E-07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GHCA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15.17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1.81E-12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2.76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18.68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1.08E-11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TCA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2.79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0.0006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2.81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19.67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8.55E-05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GCA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2.07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0.0405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1.96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0.0045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0.0005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TCDCA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2.17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0.0008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1.99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0.0147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7.27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2.11E-07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GCDCA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1.87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0.0317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1.59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3.06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0.0001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Fatty acids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MA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1.97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0.0009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1.65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0.0489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0.0228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POA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0.0004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1.82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0.0673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0.0044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LA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2.06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0.0005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1.63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0.0963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0.0053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ARA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1.76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1.61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0.0674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0.0149</w:t>
            </w:r>
          </w:p>
        </w:tc>
      </w:tr>
      <w:tr>
        <w:trPr/>
        <w:tc>
          <w:tcPr>
            <w:tcW w:w="121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OA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2.07</w:t>
            </w:r>
          </w:p>
        </w:tc>
        <w:tc>
          <w:tcPr>
            <w:tcW w:w="1038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0.0005</w:t>
            </w:r>
          </w:p>
        </w:tc>
        <w:tc>
          <w:tcPr>
            <w:tcW w:w="24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1.53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0.1275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left"/>
              <w:rPr>
                <w:rFonts w:ascii="Times New Roman" w:hAnsi="Times New Roman" w:eastAsia="宋体"/>
                <w:szCs w:val="21"/>
              </w:rPr>
            </w:pPr>
            <w:r>
              <w:rPr>
                <w:rFonts w:eastAsia="宋体" w:cs="" w:ascii="Times New Roman" w:hAnsi="Times New Roman"/>
                <w:kern w:val="2"/>
                <w:sz w:val="21"/>
                <w:szCs w:val="21"/>
                <w:lang w:val="en-US" w:eastAsia="zh-CN" w:bidi="ar-SA"/>
              </w:rPr>
              <w:t>0.0022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800" w:right="1800" w:gutter="0" w:header="0" w:top="1440" w:footer="992" w:bottom="144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等线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36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0a7a"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页眉 字符"/>
    <w:basedOn w:val="DefaultParagraphFont"/>
    <w:link w:val="Header"/>
    <w:uiPriority w:val="99"/>
    <w:qFormat/>
    <w:rsid w:val="00070a7a"/>
    <w:rPr>
      <w:sz w:val="18"/>
      <w:szCs w:val="18"/>
    </w:rPr>
  </w:style>
  <w:style w:type="character" w:styleId="Style10" w:customStyle="1">
    <w:name w:val="页脚 字符"/>
    <w:basedOn w:val="DefaultParagraphFont"/>
    <w:link w:val="Footer"/>
    <w:uiPriority w:val="99"/>
    <w:qFormat/>
    <w:rsid w:val="00070a7a"/>
    <w:rPr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070a7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070a7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070a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A04F-224E-4AE3-9F8D-02152515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LibreOffice/7.5.0.3$Windows_X86_64 LibreOffice_project/c21113d003cd3efa8c53188764377a8272d9d6de</Application>
  <AppVersion>15.0000</AppVersion>
  <Pages>6</Pages>
  <Words>933</Words>
  <Characters>4641</Characters>
  <CharactersWithSpaces>4955</CharactersWithSpaces>
  <Paragraphs>619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2023-03-18T05:47:00Z</dcterms:created>
  <dc:creator>梦娇 李</dc:creator>
  <dc:description/>
  <dc:language>en-IN</dc:language>
  <cp:lastModifiedBy/>
  <cp:lastPrinted>2023-03-30T09:21:00Z</cp:lastPrinted>
  <dcterms:modified xsi:type="dcterms:W3CDTF">2024-06-19T18:54:28Z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278cce77324c4a7c3ecde18fc8b094c2eb5511406f1fcf2b78c978a5a24a321f</vt:lpwstr>
  </property>
</Properties>
</file>