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0056" w14:textId="77777777" w:rsidR="00C13B6C" w:rsidRPr="00C13B6C" w:rsidRDefault="00C13B6C" w:rsidP="00C13B6C">
      <w:pPr>
        <w:keepNext/>
        <w:spacing w:before="240" w:after="60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C13B6C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Supplement files</w:t>
      </w:r>
    </w:p>
    <w:p w14:paraId="4C46CEC4" w14:textId="77777777" w:rsidR="00C13B6C" w:rsidRPr="00C13B6C" w:rsidRDefault="00C13B6C" w:rsidP="00C13B6C"/>
    <w:p w14:paraId="537701C7" w14:textId="77777777" w:rsidR="00C13B6C" w:rsidRP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  <w:r w:rsidRPr="00C13B6C">
        <w:rPr>
          <w:rFonts w:ascii="Times New Roman" w:hAnsi="Times New Roman" w:cs="Times New Roman"/>
          <w:sz w:val="24"/>
          <w:szCs w:val="24"/>
        </w:rPr>
        <w:t xml:space="preserve">Supplement Table 1. Cox proportional hazard ratio (HR) of all patients with event and p-values comparing the primary, secondary and other outcomes between the intervention and control groups in the Per Protocol - analysis. </w:t>
      </w:r>
    </w:p>
    <w:p w14:paraId="178C2190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75F044DC" w14:textId="6788A14E" w:rsidR="00C13B6C" w:rsidRDefault="000C2558" w:rsidP="00C13B6C">
      <w:pPr>
        <w:rPr>
          <w:rFonts w:ascii="Times New Roman" w:hAnsi="Times New Roman" w:cs="Times New Roman"/>
          <w:sz w:val="24"/>
          <w:szCs w:val="24"/>
        </w:rPr>
      </w:pPr>
      <w:r w:rsidRPr="000C2558">
        <w:rPr>
          <w:noProof/>
        </w:rPr>
        <w:drawing>
          <wp:inline distT="0" distB="0" distL="0" distR="0" wp14:anchorId="2E56824C" wp14:editId="0F6FEAAC">
            <wp:extent cx="6120130" cy="251904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AAEE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05401B72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0769939F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7850FEDE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564E8F1F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1ED5777F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7E5617CD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47DC1D6A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626154C8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4AFE5E5D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1B76EA3B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3C04A81C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19B20960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5E1E5B20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4D9ABDC1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446E7ADE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5D6C63C0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223B9312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6285D69B" w14:textId="77777777" w:rsidR="00C13B6C" w:rsidRDefault="00C13B6C" w:rsidP="00C13B6C">
      <w:pPr>
        <w:rPr>
          <w:rFonts w:ascii="Times New Roman" w:hAnsi="Times New Roman" w:cs="Times New Roman"/>
          <w:sz w:val="24"/>
          <w:szCs w:val="24"/>
        </w:rPr>
      </w:pPr>
    </w:p>
    <w:p w14:paraId="276D2EAF" w14:textId="64816000" w:rsidR="000C2558" w:rsidRDefault="00C13B6C">
      <w:r w:rsidRPr="001B37AC">
        <w:rPr>
          <w:rFonts w:ascii="Times New Roman" w:hAnsi="Times New Roman" w:cs="Times New Roman"/>
          <w:sz w:val="24"/>
          <w:szCs w:val="24"/>
        </w:rPr>
        <w:lastRenderedPageBreak/>
        <w:t xml:space="preserve">Supplement Table 2. Cox proportional hazard ratio (HR) of </w:t>
      </w:r>
      <w:r>
        <w:rPr>
          <w:rFonts w:ascii="Times New Roman" w:hAnsi="Times New Roman" w:cs="Times New Roman"/>
          <w:sz w:val="24"/>
          <w:szCs w:val="24"/>
        </w:rPr>
        <w:t>coronary artery disease (</w:t>
      </w:r>
      <w:r w:rsidRPr="001B37AC">
        <w:rPr>
          <w:rFonts w:ascii="Times New Roman" w:hAnsi="Times New Roman" w:cs="Times New Roman"/>
          <w:sz w:val="24"/>
          <w:szCs w:val="24"/>
        </w:rPr>
        <w:t>CAD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B37AC">
        <w:rPr>
          <w:rFonts w:ascii="Times New Roman" w:hAnsi="Times New Roman" w:cs="Times New Roman"/>
          <w:sz w:val="24"/>
          <w:szCs w:val="24"/>
        </w:rPr>
        <w:t xml:space="preserve"> patients with event and p-values comparing the primary, secondary and other outcomes between the intervention and control groups in the Per Protocol -analysis. </w:t>
      </w:r>
    </w:p>
    <w:p w14:paraId="26513EDF" w14:textId="77777777" w:rsidR="000C2558" w:rsidRDefault="000C2558"/>
    <w:p w14:paraId="1B6976A3" w14:textId="524CC441" w:rsidR="001E362A" w:rsidRDefault="000C2558">
      <w:r w:rsidRPr="000C2558">
        <w:rPr>
          <w:noProof/>
        </w:rPr>
        <w:drawing>
          <wp:inline distT="0" distB="0" distL="0" distR="0" wp14:anchorId="0798D70F" wp14:editId="45B3AF68">
            <wp:extent cx="6120130" cy="263334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1CCCD" w14:textId="53EAB07C" w:rsidR="000C2558" w:rsidRDefault="000C2558"/>
    <w:p w14:paraId="6D8160FB" w14:textId="17727885" w:rsidR="000C2558" w:rsidRDefault="000C2558"/>
    <w:p w14:paraId="1D863932" w14:textId="414CF374" w:rsidR="000C2558" w:rsidRDefault="000C2558"/>
    <w:p w14:paraId="40247D23" w14:textId="52E172F1" w:rsidR="000C2558" w:rsidRDefault="000C2558"/>
    <w:p w14:paraId="2E036F7A" w14:textId="54D872B0" w:rsidR="000C2558" w:rsidRDefault="000C2558"/>
    <w:p w14:paraId="0EB49BD6" w14:textId="41CB28AC" w:rsidR="000C2558" w:rsidRDefault="000C2558"/>
    <w:p w14:paraId="29E436B6" w14:textId="3313B0FF" w:rsidR="000C2558" w:rsidRDefault="000C2558"/>
    <w:p w14:paraId="1579E80D" w14:textId="00C80428" w:rsidR="000C2558" w:rsidRDefault="000C2558"/>
    <w:p w14:paraId="1454264F" w14:textId="7B4E6BE1" w:rsidR="000C2558" w:rsidRDefault="000C2558"/>
    <w:p w14:paraId="0A8D9183" w14:textId="741406B5" w:rsidR="000C2558" w:rsidRDefault="000C2558"/>
    <w:p w14:paraId="3F524FD4" w14:textId="53CD5E71" w:rsidR="000C2558" w:rsidRDefault="000C2558"/>
    <w:p w14:paraId="08ACFA82" w14:textId="6F12FE74" w:rsidR="000C2558" w:rsidRDefault="000C2558"/>
    <w:p w14:paraId="46B88EF1" w14:textId="3150957C" w:rsidR="000C2558" w:rsidRDefault="000C2558"/>
    <w:p w14:paraId="7B837908" w14:textId="7DC71094" w:rsidR="000C2558" w:rsidRDefault="000C2558"/>
    <w:p w14:paraId="58D3F487" w14:textId="5658B522" w:rsidR="000C2558" w:rsidRDefault="000C2558"/>
    <w:p w14:paraId="2429CE3E" w14:textId="72D9E1C9" w:rsidR="000C2558" w:rsidRDefault="000C2558"/>
    <w:p w14:paraId="2BB7BDE1" w14:textId="42FC1CE8" w:rsidR="000C2558" w:rsidRDefault="000C2558"/>
    <w:p w14:paraId="5CEDC4A6" w14:textId="289E0260" w:rsidR="000C2558" w:rsidRDefault="000C2558"/>
    <w:p w14:paraId="50CDF032" w14:textId="07848768" w:rsidR="000C2558" w:rsidRDefault="000C2558"/>
    <w:p w14:paraId="024B6113" w14:textId="20D7C389" w:rsidR="000C2558" w:rsidRDefault="000C2558"/>
    <w:p w14:paraId="10752A01" w14:textId="79D91A90" w:rsidR="000C2558" w:rsidRDefault="000C2558"/>
    <w:p w14:paraId="18DCFAFB" w14:textId="70951B9D" w:rsidR="000C2558" w:rsidRDefault="000C2558"/>
    <w:p w14:paraId="1885AA39" w14:textId="4AF9862D" w:rsidR="000C2558" w:rsidRDefault="000C2558" w:rsidP="000C2558">
      <w:pPr>
        <w:rPr>
          <w:rFonts w:ascii="Times New Roman" w:hAnsi="Times New Roman" w:cs="Times New Roman"/>
          <w:sz w:val="24"/>
          <w:szCs w:val="24"/>
        </w:rPr>
      </w:pPr>
      <w:r w:rsidRPr="001B37AC">
        <w:rPr>
          <w:rFonts w:ascii="Times New Roman" w:hAnsi="Times New Roman" w:cs="Times New Roman"/>
          <w:sz w:val="24"/>
          <w:szCs w:val="24"/>
        </w:rPr>
        <w:lastRenderedPageBreak/>
        <w:t xml:space="preserve">Supplement Table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37AC">
        <w:rPr>
          <w:rFonts w:ascii="Times New Roman" w:hAnsi="Times New Roman" w:cs="Times New Roman"/>
          <w:sz w:val="24"/>
          <w:szCs w:val="24"/>
        </w:rPr>
        <w:t xml:space="preserve">. </w:t>
      </w:r>
      <w:r w:rsidR="00DF667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667C" w:rsidRPr="00E22800">
        <w:rPr>
          <w:rFonts w:ascii="Times New Roman" w:hAnsi="Times New Roman" w:cs="Times New Roman"/>
          <w:sz w:val="24"/>
          <w:szCs w:val="24"/>
          <w:lang w:val="en-US"/>
        </w:rPr>
        <w:t xml:space="preserve"> baseline characteristics </w:t>
      </w:r>
      <w:r w:rsidR="00DF667C">
        <w:rPr>
          <w:rFonts w:ascii="Times New Roman" w:hAnsi="Times New Roman" w:cs="Times New Roman"/>
          <w:sz w:val="24"/>
          <w:szCs w:val="24"/>
          <w:lang w:val="en-US"/>
        </w:rPr>
        <w:t>for ITT, PP and dropout -patient</w:t>
      </w:r>
      <w:r w:rsidR="009459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667C">
        <w:rPr>
          <w:rFonts w:ascii="Times New Roman" w:hAnsi="Times New Roman" w:cs="Times New Roman"/>
          <w:sz w:val="24"/>
          <w:szCs w:val="24"/>
          <w:lang w:val="en-US"/>
        </w:rPr>
        <w:t xml:space="preserve"> in intervention and control groups </w:t>
      </w:r>
      <w:r w:rsidR="00DF667C" w:rsidRPr="00E22800">
        <w:rPr>
          <w:rFonts w:ascii="Times New Roman" w:hAnsi="Times New Roman" w:cs="Times New Roman"/>
          <w:sz w:val="24"/>
          <w:szCs w:val="24"/>
          <w:lang w:val="en-US"/>
        </w:rPr>
        <w:t>(age, proportion of age over 75, gender, prevalence of T2D, CAD and CHF)</w:t>
      </w:r>
      <w:r w:rsidR="00DF66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667C" w:rsidRPr="00E22800">
        <w:rPr>
          <w:rFonts w:ascii="Times New Roman" w:hAnsi="Times New Roman" w:cs="Times New Roman"/>
          <w:sz w:val="24"/>
          <w:szCs w:val="24"/>
          <w:lang w:val="en-US"/>
        </w:rPr>
        <w:t>proportion of those diagnosed for more than one of T2D, CAD, CHF</w:t>
      </w:r>
      <w:r w:rsidR="00DF667C">
        <w:rPr>
          <w:rFonts w:ascii="Times New Roman" w:hAnsi="Times New Roman" w:cs="Times New Roman"/>
          <w:sz w:val="24"/>
          <w:szCs w:val="24"/>
          <w:lang w:val="en-US"/>
        </w:rPr>
        <w:t xml:space="preserve"> and number of chronic conditions.</w:t>
      </w:r>
    </w:p>
    <w:p w14:paraId="2E96E8FF" w14:textId="6E7540CC" w:rsidR="000C2558" w:rsidRDefault="000C2558" w:rsidP="000C255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302"/>
        <w:gridCol w:w="1055"/>
        <w:gridCol w:w="1264"/>
        <w:gridCol w:w="1102"/>
        <w:gridCol w:w="1601"/>
        <w:gridCol w:w="1672"/>
      </w:tblGrid>
      <w:tr w:rsidR="00DF667C" w:rsidRPr="00654B52" w14:paraId="31A4A3D2" w14:textId="77777777" w:rsidTr="00F85629"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9F57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39D27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>ITT</w:t>
            </w:r>
          </w:p>
          <w:p w14:paraId="6C70C51F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 xml:space="preserve">interventio (N=1033) 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1C17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>ITT</w:t>
            </w:r>
          </w:p>
          <w:p w14:paraId="6C0D727F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 xml:space="preserve">control (N=500) 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71AA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  <w:p w14:paraId="088B6698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  <w:p w14:paraId="66EB94E8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 xml:space="preserve">(N=853)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7141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 xml:space="preserve">PP </w:t>
            </w:r>
          </w:p>
          <w:p w14:paraId="3651B6D0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  <w:p w14:paraId="77DF0820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</w:rPr>
              <w:t xml:space="preserve">N=453 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A72A" w14:textId="33C0FCC6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Dropout 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intervention</w:t>
            </w:r>
          </w:p>
          <w:p w14:paraId="51E4D3B1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(N=180)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1A8C" w14:textId="338C368A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Dropout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CF94040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</w:p>
          <w:p w14:paraId="0122DDD3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(N=47)</w:t>
            </w:r>
          </w:p>
        </w:tc>
      </w:tr>
      <w:tr w:rsidR="00DF667C" w:rsidRPr="00654B52" w14:paraId="0F9CAC8A" w14:textId="77777777" w:rsidTr="00F85629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83AA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mean years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BD9B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69EEA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50AA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36DE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A376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C447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67.9</w:t>
            </w:r>
          </w:p>
        </w:tc>
      </w:tr>
      <w:tr w:rsidR="00DF667C" w:rsidRPr="00654B52" w14:paraId="5C1C210E" w14:textId="77777777" w:rsidTr="00F85629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EE52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 over 75 years,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7E81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F5FA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4CDD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9A59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F690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CEEC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27.6</w:t>
            </w:r>
          </w:p>
        </w:tc>
      </w:tr>
      <w:tr w:rsidR="00DF667C" w:rsidRPr="00654B52" w14:paraId="4DE40983" w14:textId="77777777" w:rsidTr="00F85629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F073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 sex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47DD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CC30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44A7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6DD8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D3A2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B15E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61.7</w:t>
            </w:r>
          </w:p>
        </w:tc>
      </w:tr>
      <w:tr w:rsidR="00DF667C" w:rsidRPr="00654B52" w14:paraId="6B89269F" w14:textId="77777777" w:rsidTr="00F85629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C06E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Type 2 diabetes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0DA3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769 (74.3)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D93D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355 (71.0)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EDC1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637 (74.7)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C194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324 (71.5)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3B02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 (73.3)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9976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(74.4)</w:t>
            </w:r>
          </w:p>
        </w:tc>
      </w:tr>
      <w:tr w:rsidR="00DF667C" w:rsidRPr="00654B52" w14:paraId="743AD5E1" w14:textId="77777777" w:rsidTr="00F85629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8B31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Coronary artery disease,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79CA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 (16.6)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33EA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 (19.4)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89D3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 (17.0)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3A31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 (19.8)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6222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 (15.0)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A7C3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(14.9)</w:t>
            </w:r>
          </w:p>
        </w:tc>
      </w:tr>
      <w:tr w:rsidR="00DF667C" w:rsidRPr="00654B52" w14:paraId="68EEE98D" w14:textId="77777777" w:rsidTr="00F85629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C0443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Congestive heart failure,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4AFF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 (8.8)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C526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 (8.6)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F23C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 (8.8)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C0D0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 (8.6)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BD4F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(11.6)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600F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(10.6)</w:t>
            </w:r>
          </w:p>
        </w:tc>
      </w:tr>
      <w:tr w:rsidR="00DF667C" w:rsidRPr="00654B52" w14:paraId="33317A6C" w14:textId="77777777" w:rsidTr="00F85629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B8B7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C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Diagnosed for more than one of T2D, CAD, CHF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0CF0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504 (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1F77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 (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EEA0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410 (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3429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 (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E00A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 (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52.8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9CA0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(</w:t>
            </w: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F667C" w:rsidRPr="00654B52" w14:paraId="4C6AE876" w14:textId="77777777" w:rsidTr="00F85629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41FA" w14:textId="77777777" w:rsidR="00DF667C" w:rsidRPr="00654B52" w:rsidRDefault="00DF667C" w:rsidP="00F856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chronic conditions (mean)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C4E5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846C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E733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3956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7FB7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89C4" w14:textId="77777777" w:rsidR="00DF667C" w:rsidRPr="00654B52" w:rsidRDefault="00DF667C" w:rsidP="00F856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1.78</w:t>
            </w:r>
          </w:p>
        </w:tc>
      </w:tr>
    </w:tbl>
    <w:p w14:paraId="2343BADC" w14:textId="566CA5A4" w:rsidR="000C2558" w:rsidRPr="001B37AC" w:rsidRDefault="000C2558" w:rsidP="000C2558">
      <w:pPr>
        <w:rPr>
          <w:rFonts w:ascii="Times New Roman" w:hAnsi="Times New Roman" w:cs="Times New Roman"/>
          <w:sz w:val="24"/>
          <w:szCs w:val="24"/>
        </w:rPr>
      </w:pPr>
    </w:p>
    <w:p w14:paraId="23514B3A" w14:textId="00BFA6D9" w:rsidR="000C2558" w:rsidRDefault="000C2558"/>
    <w:p w14:paraId="53707DD7" w14:textId="1D9884FD" w:rsidR="000C2558" w:rsidRDefault="000C2558"/>
    <w:p w14:paraId="7F32A1B7" w14:textId="77777777" w:rsidR="000C2558" w:rsidRDefault="000C2558"/>
    <w:sectPr w:rsidR="000C2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6C"/>
    <w:rsid w:val="000C2558"/>
    <w:rsid w:val="001E362A"/>
    <w:rsid w:val="009459B3"/>
    <w:rsid w:val="00B041A4"/>
    <w:rsid w:val="00BB44BD"/>
    <w:rsid w:val="00C13B6C"/>
    <w:rsid w:val="00C54CF8"/>
    <w:rsid w:val="00D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0C7C"/>
  <w15:docId w15:val="{AAC1FDE4-BEDB-461D-9AE3-80C45455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3B6C"/>
    <w:pPr>
      <w:spacing w:after="120" w:line="240" w:lineRule="auto"/>
    </w:pPr>
    <w:rPr>
      <w:rFonts w:ascii="Arial" w:eastAsia="Calibri" w:hAnsi="Arial" w:cs="Arial"/>
      <w:lang w:val="en-GB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13B6C"/>
    <w:pPr>
      <w:spacing w:after="0"/>
    </w:pPr>
    <w:rPr>
      <w:rFonts w:ascii="Tahoma" w:eastAsiaTheme="minorHAnsi" w:hAnsi="Tahoma" w:cs="Tahoma"/>
      <w:sz w:val="16"/>
      <w:szCs w:val="16"/>
      <w:lang w:val="fi-FI"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3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Mustonen Erja</dc:creator>
  <cp:lastModifiedBy>Erja Mustonen</cp:lastModifiedBy>
  <cp:revision>5</cp:revision>
  <cp:lastPrinted>2021-10-16T17:05:00Z</cp:lastPrinted>
  <dcterms:created xsi:type="dcterms:W3CDTF">2021-10-16T17:31:00Z</dcterms:created>
  <dcterms:modified xsi:type="dcterms:W3CDTF">2021-10-29T14:25:00Z</dcterms:modified>
</cp:coreProperties>
</file>