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0B7F" w14:textId="77777777" w:rsidR="00196364" w:rsidRDefault="00196364" w:rsidP="00196364">
      <w:pPr>
        <w:spacing w:line="480" w:lineRule="auto"/>
        <w:jc w:val="center"/>
        <w:rPr>
          <w:rFonts w:asciiTheme="majorBidi" w:hAnsiTheme="majorBidi" w:cstheme="majorBidi"/>
          <w:b/>
          <w:bCs/>
          <w:sz w:val="28"/>
          <w:szCs w:val="28"/>
        </w:rPr>
      </w:pPr>
      <w:bookmarkStart w:id="0" w:name="_Hlk175191242"/>
      <w:r w:rsidRPr="00196364">
        <w:rPr>
          <w:rFonts w:asciiTheme="majorBidi" w:hAnsiTheme="majorBidi" w:cstheme="majorBidi"/>
          <w:b/>
          <w:bCs/>
          <w:sz w:val="28"/>
          <w:szCs w:val="28"/>
        </w:rPr>
        <w:t xml:space="preserve">The anticancer potential of </w:t>
      </w:r>
      <w:proofErr w:type="spellStart"/>
      <w:r w:rsidRPr="00196364">
        <w:rPr>
          <w:rFonts w:asciiTheme="majorBidi" w:hAnsiTheme="majorBidi" w:cstheme="majorBidi"/>
          <w:b/>
          <w:bCs/>
          <w:sz w:val="28"/>
          <w:szCs w:val="28"/>
        </w:rPr>
        <w:t>tetrahydrocurcumin-phytosomes</w:t>
      </w:r>
      <w:proofErr w:type="spellEnd"/>
      <w:r w:rsidRPr="00196364">
        <w:rPr>
          <w:rFonts w:asciiTheme="majorBidi" w:hAnsiTheme="majorBidi" w:cstheme="majorBidi"/>
          <w:b/>
          <w:bCs/>
          <w:sz w:val="28"/>
          <w:szCs w:val="28"/>
        </w:rPr>
        <w:t xml:space="preserve"> against oral carcinoma progression </w:t>
      </w:r>
    </w:p>
    <w:bookmarkEnd w:id="0"/>
    <w:p w14:paraId="14AC5833" w14:textId="7605D6A3" w:rsidR="00F406A8" w:rsidRPr="00452BCD" w:rsidRDefault="00F406A8" w:rsidP="00F406A8">
      <w:pPr>
        <w:spacing w:line="480" w:lineRule="auto"/>
        <w:jc w:val="center"/>
        <w:rPr>
          <w:rFonts w:asciiTheme="majorBidi" w:hAnsiTheme="majorBidi" w:cstheme="majorBidi"/>
          <w:sz w:val="24"/>
          <w:szCs w:val="24"/>
          <w:vertAlign w:val="superscript"/>
        </w:rPr>
      </w:pPr>
      <w:r w:rsidRPr="00452BCD">
        <w:rPr>
          <w:rFonts w:asciiTheme="majorBidi" w:hAnsiTheme="majorBidi" w:cstheme="majorBidi"/>
          <w:sz w:val="24"/>
          <w:szCs w:val="24"/>
        </w:rPr>
        <w:t xml:space="preserve">Nehal Raouf, Zeinab </w:t>
      </w:r>
      <w:proofErr w:type="spellStart"/>
      <w:r w:rsidRPr="00452BCD">
        <w:rPr>
          <w:rFonts w:asciiTheme="majorBidi" w:hAnsiTheme="majorBidi" w:cstheme="majorBidi"/>
          <w:sz w:val="24"/>
          <w:szCs w:val="24"/>
        </w:rPr>
        <w:t>Elsayed</w:t>
      </w:r>
      <w:proofErr w:type="spellEnd"/>
      <w:r w:rsidRPr="00452BCD">
        <w:rPr>
          <w:rFonts w:asciiTheme="majorBidi" w:hAnsiTheme="majorBidi" w:cstheme="majorBidi"/>
          <w:sz w:val="24"/>
          <w:szCs w:val="24"/>
        </w:rPr>
        <w:t xml:space="preserve"> Darwish, </w:t>
      </w:r>
      <w:proofErr w:type="spellStart"/>
      <w:r w:rsidRPr="00452BCD">
        <w:rPr>
          <w:rFonts w:asciiTheme="majorBidi" w:hAnsiTheme="majorBidi" w:cstheme="majorBidi"/>
          <w:sz w:val="24"/>
          <w:szCs w:val="24"/>
        </w:rPr>
        <w:t>Omneya</w:t>
      </w:r>
      <w:proofErr w:type="spellEnd"/>
      <w:r w:rsidRPr="00452BCD">
        <w:rPr>
          <w:rFonts w:asciiTheme="majorBidi" w:hAnsiTheme="majorBidi" w:cstheme="majorBidi"/>
          <w:sz w:val="24"/>
          <w:szCs w:val="24"/>
        </w:rPr>
        <w:t xml:space="preserve"> Ramadan, </w:t>
      </w:r>
      <w:proofErr w:type="spellStart"/>
      <w:r w:rsidRPr="00452BCD">
        <w:rPr>
          <w:rFonts w:asciiTheme="majorBidi" w:hAnsiTheme="majorBidi" w:cstheme="majorBidi"/>
          <w:sz w:val="24"/>
          <w:szCs w:val="24"/>
        </w:rPr>
        <w:t>Hebatallah</w:t>
      </w:r>
      <w:proofErr w:type="spellEnd"/>
      <w:r w:rsidRPr="00452BCD">
        <w:rPr>
          <w:rFonts w:asciiTheme="majorBidi" w:hAnsiTheme="majorBidi" w:cstheme="majorBidi"/>
          <w:sz w:val="24"/>
          <w:szCs w:val="24"/>
        </w:rPr>
        <w:t xml:space="preserve"> S. Barakat, </w:t>
      </w:r>
      <w:proofErr w:type="spellStart"/>
      <w:r w:rsidRPr="00452BCD">
        <w:rPr>
          <w:rFonts w:asciiTheme="majorBidi" w:hAnsiTheme="majorBidi" w:cstheme="majorBidi"/>
          <w:sz w:val="24"/>
          <w:szCs w:val="24"/>
        </w:rPr>
        <w:t>Shimaa</w:t>
      </w:r>
      <w:proofErr w:type="spellEnd"/>
      <w:r w:rsidRPr="00452BCD">
        <w:rPr>
          <w:rFonts w:asciiTheme="majorBidi" w:hAnsiTheme="majorBidi" w:cstheme="majorBidi"/>
          <w:sz w:val="24"/>
          <w:szCs w:val="24"/>
        </w:rPr>
        <w:t xml:space="preserve"> A. </w:t>
      </w:r>
      <w:proofErr w:type="spellStart"/>
      <w:r w:rsidRPr="00452BCD">
        <w:rPr>
          <w:rFonts w:asciiTheme="majorBidi" w:hAnsiTheme="majorBidi" w:cstheme="majorBidi"/>
          <w:sz w:val="24"/>
          <w:szCs w:val="24"/>
        </w:rPr>
        <w:t>Elbanna</w:t>
      </w:r>
      <w:proofErr w:type="spellEnd"/>
      <w:r w:rsidRPr="00452BCD">
        <w:rPr>
          <w:rFonts w:asciiTheme="majorBidi" w:hAnsiTheme="majorBidi" w:cstheme="majorBidi"/>
          <w:sz w:val="24"/>
          <w:szCs w:val="24"/>
        </w:rPr>
        <w:t xml:space="preserve">, Marwa M. </w:t>
      </w:r>
      <w:proofErr w:type="spellStart"/>
      <w:r w:rsidRPr="00452BCD">
        <w:rPr>
          <w:rFonts w:asciiTheme="majorBidi" w:hAnsiTheme="majorBidi" w:cstheme="majorBidi"/>
          <w:sz w:val="24"/>
          <w:szCs w:val="24"/>
        </w:rPr>
        <w:t>Essaw</w:t>
      </w:r>
      <w:r w:rsidR="007F029B">
        <w:rPr>
          <w:rFonts w:asciiTheme="majorBidi" w:hAnsiTheme="majorBidi" w:cstheme="majorBidi"/>
          <w:sz w:val="24"/>
          <w:szCs w:val="24"/>
        </w:rPr>
        <w:t>y</w:t>
      </w:r>
      <w:proofErr w:type="spellEnd"/>
    </w:p>
    <w:p w14:paraId="0B02D84A" w14:textId="3095D7F8" w:rsidR="00274A07" w:rsidRPr="00452BCD" w:rsidRDefault="00274A07" w:rsidP="00A73550">
      <w:pPr>
        <w:spacing w:line="480" w:lineRule="auto"/>
        <w:jc w:val="both"/>
        <w:rPr>
          <w:rFonts w:asciiTheme="majorBidi" w:hAnsiTheme="majorBidi" w:cstheme="majorBidi"/>
          <w:sz w:val="24"/>
          <w:szCs w:val="24"/>
        </w:rPr>
      </w:pPr>
    </w:p>
    <w:p w14:paraId="6388D583" w14:textId="43E1724A" w:rsidR="00A73550" w:rsidRDefault="00274A07" w:rsidP="00A73550">
      <w:pPr>
        <w:spacing w:line="480" w:lineRule="auto"/>
        <w:jc w:val="both"/>
        <w:rPr>
          <w:rFonts w:asciiTheme="majorBidi" w:hAnsiTheme="majorBidi" w:cstheme="majorBidi"/>
          <w:sz w:val="24"/>
          <w:szCs w:val="24"/>
        </w:rPr>
      </w:pPr>
      <w:bookmarkStart w:id="1" w:name="OLE_LINK3"/>
      <w:r>
        <w:rPr>
          <w:rFonts w:asciiTheme="majorBidi" w:hAnsiTheme="majorBidi" w:cstheme="majorBidi"/>
          <w:sz w:val="24"/>
          <w:szCs w:val="24"/>
        </w:rPr>
        <w:t xml:space="preserve"> This document contains additional information regarding the materials and methods</w:t>
      </w:r>
      <w:r w:rsidR="006A1291">
        <w:rPr>
          <w:rFonts w:asciiTheme="majorBidi" w:hAnsiTheme="majorBidi" w:cstheme="majorBidi"/>
          <w:sz w:val="24"/>
          <w:szCs w:val="24"/>
        </w:rPr>
        <w:t xml:space="preserve"> and the results</w:t>
      </w:r>
      <w:r>
        <w:rPr>
          <w:rFonts w:asciiTheme="majorBidi" w:hAnsiTheme="majorBidi" w:cstheme="majorBidi"/>
          <w:sz w:val="24"/>
          <w:szCs w:val="24"/>
        </w:rPr>
        <w:t xml:space="preserve"> sections, in addition to an additional figure and table.</w:t>
      </w:r>
    </w:p>
    <w:p w14:paraId="166271AE" w14:textId="77777777" w:rsidR="00274A07" w:rsidRPr="00452BCD" w:rsidRDefault="00274A07" w:rsidP="00A73550">
      <w:pPr>
        <w:spacing w:line="480" w:lineRule="auto"/>
        <w:jc w:val="both"/>
        <w:rPr>
          <w:rFonts w:asciiTheme="majorBidi" w:hAnsiTheme="majorBidi" w:cstheme="majorBidi"/>
          <w:sz w:val="24"/>
          <w:szCs w:val="24"/>
        </w:rPr>
      </w:pPr>
    </w:p>
    <w:p w14:paraId="3542178D" w14:textId="77777777" w:rsidR="00A73550" w:rsidRPr="00452BCD" w:rsidRDefault="00A73550" w:rsidP="00A73550">
      <w:pPr>
        <w:pStyle w:val="NormalWeb"/>
        <w:spacing w:after="160" w:afterAutospacing="0" w:line="480" w:lineRule="auto"/>
        <w:jc w:val="both"/>
        <w:rPr>
          <w:rFonts w:asciiTheme="majorBidi" w:hAnsiTheme="majorBidi" w:cstheme="majorBidi"/>
          <w:b/>
          <w:bCs/>
          <w:sz w:val="28"/>
          <w:szCs w:val="28"/>
        </w:rPr>
      </w:pPr>
      <w:r w:rsidRPr="00452BCD">
        <w:rPr>
          <w:rFonts w:asciiTheme="majorBidi" w:hAnsiTheme="majorBidi" w:cstheme="majorBidi"/>
          <w:b/>
          <w:bCs/>
          <w:sz w:val="28"/>
          <w:szCs w:val="28"/>
        </w:rPr>
        <w:t>Materials and Methods</w:t>
      </w:r>
    </w:p>
    <w:p w14:paraId="438E4A39" w14:textId="77777777" w:rsidR="00A73550" w:rsidRPr="00452BCD" w:rsidRDefault="00A73550" w:rsidP="00A73550">
      <w:pPr>
        <w:pStyle w:val="NormalWeb"/>
        <w:spacing w:after="160" w:afterAutospacing="0" w:line="480" w:lineRule="auto"/>
        <w:jc w:val="both"/>
        <w:rPr>
          <w:rFonts w:asciiTheme="majorBidi" w:hAnsiTheme="majorBidi" w:cstheme="majorBidi"/>
          <w:b/>
          <w:bCs/>
        </w:rPr>
      </w:pPr>
      <w:r w:rsidRPr="00452BCD">
        <w:rPr>
          <w:rFonts w:asciiTheme="majorBidi" w:hAnsiTheme="majorBidi" w:cstheme="majorBidi"/>
          <w:b/>
          <w:bCs/>
        </w:rPr>
        <w:t>Drugs and Reagents</w:t>
      </w:r>
    </w:p>
    <w:p w14:paraId="550FC091" w14:textId="69632A20" w:rsidR="00684822" w:rsidRPr="00452BCD" w:rsidRDefault="00A73550" w:rsidP="00A762A2">
      <w:pPr>
        <w:pStyle w:val="NormalWeb"/>
        <w:spacing w:after="160" w:afterAutospacing="0" w:line="480" w:lineRule="auto"/>
        <w:jc w:val="both"/>
        <w:rPr>
          <w:rFonts w:asciiTheme="majorBidi" w:hAnsiTheme="majorBidi" w:cstheme="majorBidi"/>
          <w:b/>
          <w:bCs/>
        </w:rPr>
      </w:pPr>
      <w:bookmarkStart w:id="2" w:name="_Hlk162663554"/>
      <w:r w:rsidRPr="00452BCD">
        <w:rPr>
          <w:rFonts w:asciiTheme="majorBidi" w:hAnsiTheme="majorBidi" w:cstheme="majorBidi"/>
        </w:rPr>
        <w:t xml:space="preserve">Soy phosphatidylcholine </w:t>
      </w:r>
      <w:bookmarkEnd w:id="2"/>
      <w:r w:rsidRPr="00452BCD">
        <w:rPr>
          <w:rFonts w:asciiTheme="majorBidi" w:hAnsiTheme="majorBidi" w:cstheme="majorBidi"/>
        </w:rPr>
        <w:t xml:space="preserve">(SPC) (lipoid® S100) was obtained from Lipoid GmbH (Ludwigshafen, Germany). </w:t>
      </w:r>
      <w:proofErr w:type="spellStart"/>
      <w:r w:rsidRPr="00452BCD">
        <w:rPr>
          <w:rFonts w:asciiTheme="majorBidi" w:hAnsiTheme="majorBidi" w:cstheme="majorBidi"/>
        </w:rPr>
        <w:t>Tetrahydrocurcumin</w:t>
      </w:r>
      <w:proofErr w:type="spellEnd"/>
      <w:r w:rsidRPr="00452BCD">
        <w:rPr>
          <w:rFonts w:asciiTheme="majorBidi" w:hAnsiTheme="majorBidi" w:cstheme="majorBidi"/>
        </w:rPr>
        <w:t xml:space="preserve"> (THC) (98%) was purchased from </w:t>
      </w:r>
      <w:proofErr w:type="spellStart"/>
      <w:r w:rsidRPr="00452BCD">
        <w:rPr>
          <w:rFonts w:asciiTheme="majorBidi" w:hAnsiTheme="majorBidi" w:cstheme="majorBidi"/>
        </w:rPr>
        <w:t>Carbosynth</w:t>
      </w:r>
      <w:proofErr w:type="spellEnd"/>
      <w:r w:rsidRPr="00452BCD">
        <w:rPr>
          <w:rFonts w:asciiTheme="majorBidi" w:hAnsiTheme="majorBidi" w:cstheme="majorBidi"/>
        </w:rPr>
        <w:t xml:space="preserve"> Ltd. (Compton, UK). Absolute ethanol, methanol, and </w:t>
      </w:r>
      <w:r w:rsidRPr="00452BCD">
        <w:rPr>
          <w:rFonts w:asciiTheme="majorBidi" w:hAnsiTheme="majorBidi" w:cstheme="majorBidi"/>
          <w:lang w:bidi="ar-EG"/>
        </w:rPr>
        <w:t>methylene chloride</w:t>
      </w:r>
      <w:r w:rsidRPr="00452BCD">
        <w:rPr>
          <w:rFonts w:asciiTheme="majorBidi" w:hAnsiTheme="majorBidi" w:cstheme="majorBidi"/>
        </w:rPr>
        <w:t xml:space="preserve"> were obtained from ADWIC (Cairo, Egypt). Phospholipids</w:t>
      </w:r>
      <w:r w:rsidRPr="00452BCD">
        <w:rPr>
          <w:rFonts w:asciiTheme="majorBidi" w:hAnsiTheme="majorBidi" w:cstheme="majorBidi"/>
          <w:spacing w:val="-7"/>
        </w:rPr>
        <w:t xml:space="preserve"> </w:t>
      </w:r>
      <w:r w:rsidRPr="00452BCD">
        <w:rPr>
          <w:rFonts w:asciiTheme="majorBidi" w:hAnsiTheme="majorBidi" w:cstheme="majorBidi"/>
        </w:rPr>
        <w:t>were</w:t>
      </w:r>
      <w:r w:rsidRPr="00452BCD">
        <w:rPr>
          <w:rFonts w:asciiTheme="majorBidi" w:hAnsiTheme="majorBidi" w:cstheme="majorBidi"/>
          <w:spacing w:val="-10"/>
        </w:rPr>
        <w:t xml:space="preserve"> </w:t>
      </w:r>
      <w:r w:rsidRPr="00452BCD">
        <w:rPr>
          <w:rFonts w:asciiTheme="majorBidi" w:hAnsiTheme="majorBidi" w:cstheme="majorBidi"/>
        </w:rPr>
        <w:t>purchased</w:t>
      </w:r>
      <w:r w:rsidRPr="00452BCD">
        <w:rPr>
          <w:rFonts w:asciiTheme="majorBidi" w:hAnsiTheme="majorBidi" w:cstheme="majorBidi"/>
          <w:spacing w:val="-7"/>
        </w:rPr>
        <w:t xml:space="preserve"> </w:t>
      </w:r>
      <w:r w:rsidRPr="00452BCD">
        <w:rPr>
          <w:rFonts w:asciiTheme="majorBidi" w:hAnsiTheme="majorBidi" w:cstheme="majorBidi"/>
        </w:rPr>
        <w:t>from</w:t>
      </w:r>
      <w:r w:rsidRPr="00452BCD">
        <w:rPr>
          <w:rFonts w:asciiTheme="majorBidi" w:hAnsiTheme="majorBidi" w:cstheme="majorBidi"/>
          <w:spacing w:val="-7"/>
        </w:rPr>
        <w:t xml:space="preserve"> (</w:t>
      </w:r>
      <w:r w:rsidRPr="00452BCD">
        <w:rPr>
          <w:rFonts w:asciiTheme="majorBidi" w:hAnsiTheme="majorBidi" w:cstheme="majorBidi"/>
        </w:rPr>
        <w:t>Lipoid</w:t>
      </w:r>
      <w:r w:rsidRPr="00452BCD">
        <w:rPr>
          <w:rFonts w:asciiTheme="majorBidi" w:hAnsiTheme="majorBidi" w:cstheme="majorBidi"/>
          <w:spacing w:val="-7"/>
        </w:rPr>
        <w:t xml:space="preserve"> </w:t>
      </w:r>
      <w:r w:rsidRPr="00452BCD">
        <w:rPr>
          <w:rFonts w:asciiTheme="majorBidi" w:hAnsiTheme="majorBidi" w:cstheme="majorBidi"/>
        </w:rPr>
        <w:t>Co.,</w:t>
      </w:r>
      <w:r w:rsidRPr="00452BCD">
        <w:rPr>
          <w:rFonts w:asciiTheme="majorBidi" w:hAnsiTheme="majorBidi" w:cstheme="majorBidi"/>
          <w:spacing w:val="-9"/>
        </w:rPr>
        <w:t xml:space="preserve"> </w:t>
      </w:r>
      <w:r w:rsidRPr="00452BCD">
        <w:rPr>
          <w:rFonts w:asciiTheme="majorBidi" w:hAnsiTheme="majorBidi" w:cstheme="majorBidi"/>
        </w:rPr>
        <w:t>Ludwigshafen,</w:t>
      </w:r>
      <w:r w:rsidRPr="00452BCD">
        <w:rPr>
          <w:rFonts w:asciiTheme="majorBidi" w:hAnsiTheme="majorBidi" w:cstheme="majorBidi"/>
          <w:spacing w:val="-8"/>
        </w:rPr>
        <w:t xml:space="preserve"> </w:t>
      </w:r>
      <w:r w:rsidRPr="00452BCD">
        <w:rPr>
          <w:rFonts w:asciiTheme="majorBidi" w:hAnsiTheme="majorBidi" w:cstheme="majorBidi"/>
        </w:rPr>
        <w:t>Germany). The</w:t>
      </w:r>
      <w:r w:rsidRPr="00452BCD">
        <w:rPr>
          <w:rFonts w:asciiTheme="majorBidi" w:hAnsiTheme="majorBidi" w:cstheme="majorBidi"/>
          <w:spacing w:val="58"/>
        </w:rPr>
        <w:t xml:space="preserve"> </w:t>
      </w:r>
      <w:r w:rsidRPr="00452BCD">
        <w:rPr>
          <w:rFonts w:asciiTheme="majorBidi" w:hAnsiTheme="majorBidi" w:cstheme="majorBidi"/>
        </w:rPr>
        <w:t>following</w:t>
      </w:r>
      <w:r w:rsidRPr="00452BCD">
        <w:rPr>
          <w:rFonts w:asciiTheme="majorBidi" w:hAnsiTheme="majorBidi" w:cstheme="majorBidi"/>
          <w:spacing w:val="57"/>
        </w:rPr>
        <w:t xml:space="preserve"> </w:t>
      </w:r>
      <w:r w:rsidRPr="00452BCD">
        <w:rPr>
          <w:rFonts w:asciiTheme="majorBidi" w:hAnsiTheme="majorBidi" w:cstheme="majorBidi"/>
        </w:rPr>
        <w:t>cultivating</w:t>
      </w:r>
      <w:r w:rsidRPr="00452BCD">
        <w:rPr>
          <w:rFonts w:asciiTheme="majorBidi" w:hAnsiTheme="majorBidi" w:cstheme="majorBidi"/>
          <w:spacing w:val="58"/>
        </w:rPr>
        <w:t xml:space="preserve"> </w:t>
      </w:r>
      <w:r w:rsidRPr="00452BCD">
        <w:rPr>
          <w:rFonts w:asciiTheme="majorBidi" w:hAnsiTheme="majorBidi" w:cstheme="majorBidi"/>
        </w:rPr>
        <w:t>materials</w:t>
      </w:r>
      <w:r w:rsidRPr="00452BCD">
        <w:rPr>
          <w:rFonts w:asciiTheme="majorBidi" w:hAnsiTheme="majorBidi" w:cstheme="majorBidi"/>
          <w:spacing w:val="58"/>
        </w:rPr>
        <w:t xml:space="preserve"> </w:t>
      </w:r>
      <w:r w:rsidRPr="00452BCD">
        <w:rPr>
          <w:rFonts w:asciiTheme="majorBidi" w:hAnsiTheme="majorBidi" w:cstheme="majorBidi"/>
        </w:rPr>
        <w:t>were</w:t>
      </w:r>
      <w:r w:rsidRPr="00452BCD">
        <w:rPr>
          <w:rFonts w:asciiTheme="majorBidi" w:hAnsiTheme="majorBidi" w:cstheme="majorBidi"/>
          <w:spacing w:val="-67"/>
        </w:rPr>
        <w:t xml:space="preserve">                     </w:t>
      </w:r>
      <w:r w:rsidRPr="00452BCD">
        <w:rPr>
          <w:rFonts w:asciiTheme="majorBidi" w:hAnsiTheme="majorBidi" w:cstheme="majorBidi"/>
        </w:rPr>
        <w:t xml:space="preserve"> obtained from</w:t>
      </w:r>
      <w:r w:rsidRPr="00452BCD">
        <w:rPr>
          <w:rFonts w:asciiTheme="majorBidi" w:hAnsiTheme="majorBidi" w:cstheme="majorBidi"/>
          <w:spacing w:val="-3"/>
        </w:rPr>
        <w:t xml:space="preserve"> </w:t>
      </w:r>
      <w:r w:rsidRPr="00452BCD">
        <w:rPr>
          <w:rFonts w:asciiTheme="majorBidi" w:hAnsiTheme="majorBidi" w:cstheme="majorBidi"/>
        </w:rPr>
        <w:t>Gibco,</w:t>
      </w:r>
      <w:r w:rsidRPr="00452BCD">
        <w:rPr>
          <w:rFonts w:asciiTheme="majorBidi" w:hAnsiTheme="majorBidi" w:cstheme="majorBidi"/>
          <w:spacing w:val="-3"/>
        </w:rPr>
        <w:t xml:space="preserve"> </w:t>
      </w:r>
      <w:r w:rsidRPr="00452BCD">
        <w:rPr>
          <w:rFonts w:asciiTheme="majorBidi" w:hAnsiTheme="majorBidi" w:cstheme="majorBidi"/>
        </w:rPr>
        <w:t>USA; Dulbecco’s</w:t>
      </w:r>
      <w:r w:rsidRPr="00452BCD">
        <w:rPr>
          <w:rFonts w:asciiTheme="majorBidi" w:hAnsiTheme="majorBidi" w:cstheme="majorBidi"/>
          <w:spacing w:val="-7"/>
        </w:rPr>
        <w:t xml:space="preserve"> </w:t>
      </w:r>
      <w:r w:rsidRPr="00452BCD">
        <w:rPr>
          <w:rFonts w:asciiTheme="majorBidi" w:hAnsiTheme="majorBidi" w:cstheme="majorBidi"/>
        </w:rPr>
        <w:t>modified</w:t>
      </w:r>
      <w:r w:rsidRPr="00452BCD">
        <w:rPr>
          <w:rFonts w:asciiTheme="majorBidi" w:hAnsiTheme="majorBidi" w:cstheme="majorBidi"/>
          <w:spacing w:val="-5"/>
        </w:rPr>
        <w:t xml:space="preserve"> </w:t>
      </w:r>
      <w:r w:rsidRPr="00452BCD">
        <w:rPr>
          <w:rFonts w:asciiTheme="majorBidi" w:hAnsiTheme="majorBidi" w:cstheme="majorBidi"/>
        </w:rPr>
        <w:t>Eagle’s</w:t>
      </w:r>
      <w:r w:rsidRPr="00452BCD">
        <w:rPr>
          <w:rFonts w:asciiTheme="majorBidi" w:hAnsiTheme="majorBidi" w:cstheme="majorBidi"/>
          <w:spacing w:val="-6"/>
        </w:rPr>
        <w:t xml:space="preserve"> </w:t>
      </w:r>
      <w:r w:rsidRPr="00452BCD">
        <w:rPr>
          <w:rFonts w:asciiTheme="majorBidi" w:hAnsiTheme="majorBidi" w:cstheme="majorBidi"/>
        </w:rPr>
        <w:t>medium</w:t>
      </w:r>
      <w:r w:rsidRPr="00452BCD">
        <w:rPr>
          <w:rFonts w:asciiTheme="majorBidi" w:hAnsiTheme="majorBidi" w:cstheme="majorBidi"/>
          <w:spacing w:val="-6"/>
        </w:rPr>
        <w:t xml:space="preserve"> </w:t>
      </w:r>
      <w:r w:rsidRPr="00452BCD">
        <w:rPr>
          <w:rFonts w:asciiTheme="majorBidi" w:hAnsiTheme="majorBidi" w:cstheme="majorBidi"/>
        </w:rPr>
        <w:t>(DMEM), Fetal</w:t>
      </w:r>
      <w:r w:rsidRPr="00452BCD">
        <w:rPr>
          <w:rFonts w:asciiTheme="majorBidi" w:hAnsiTheme="majorBidi" w:cstheme="majorBidi"/>
          <w:spacing w:val="-4"/>
        </w:rPr>
        <w:t xml:space="preserve"> </w:t>
      </w:r>
      <w:r w:rsidRPr="00452BCD">
        <w:rPr>
          <w:rFonts w:asciiTheme="majorBidi" w:hAnsiTheme="majorBidi" w:cstheme="majorBidi"/>
        </w:rPr>
        <w:t>bovine</w:t>
      </w:r>
      <w:r w:rsidRPr="00452BCD">
        <w:rPr>
          <w:rFonts w:asciiTheme="majorBidi" w:hAnsiTheme="majorBidi" w:cstheme="majorBidi"/>
          <w:spacing w:val="-4"/>
        </w:rPr>
        <w:t xml:space="preserve"> </w:t>
      </w:r>
      <w:r w:rsidRPr="00452BCD">
        <w:rPr>
          <w:rFonts w:asciiTheme="majorBidi" w:hAnsiTheme="majorBidi" w:cstheme="majorBidi"/>
        </w:rPr>
        <w:t>serum</w:t>
      </w:r>
      <w:r w:rsidRPr="00452BCD">
        <w:rPr>
          <w:rFonts w:asciiTheme="majorBidi" w:hAnsiTheme="majorBidi" w:cstheme="majorBidi"/>
          <w:spacing w:val="-2"/>
        </w:rPr>
        <w:t xml:space="preserve"> </w:t>
      </w:r>
      <w:r w:rsidRPr="00452BCD">
        <w:rPr>
          <w:rFonts w:asciiTheme="majorBidi" w:hAnsiTheme="majorBidi" w:cstheme="majorBidi"/>
        </w:rPr>
        <w:t>(FBS), Phosphate-buffered</w:t>
      </w:r>
      <w:r w:rsidRPr="00452BCD">
        <w:rPr>
          <w:rFonts w:asciiTheme="majorBidi" w:hAnsiTheme="majorBidi" w:cstheme="majorBidi"/>
          <w:spacing w:val="-7"/>
        </w:rPr>
        <w:t xml:space="preserve"> </w:t>
      </w:r>
      <w:r w:rsidRPr="00452BCD">
        <w:rPr>
          <w:rFonts w:asciiTheme="majorBidi" w:hAnsiTheme="majorBidi" w:cstheme="majorBidi"/>
        </w:rPr>
        <w:t>saline</w:t>
      </w:r>
      <w:r w:rsidRPr="00452BCD">
        <w:rPr>
          <w:rFonts w:asciiTheme="majorBidi" w:hAnsiTheme="majorBidi" w:cstheme="majorBidi"/>
          <w:spacing w:val="-6"/>
        </w:rPr>
        <w:t xml:space="preserve"> </w:t>
      </w:r>
      <w:r w:rsidRPr="00452BCD">
        <w:rPr>
          <w:rFonts w:asciiTheme="majorBidi" w:hAnsiTheme="majorBidi" w:cstheme="majorBidi"/>
        </w:rPr>
        <w:t>(PBS), Antibiotics</w:t>
      </w:r>
      <w:r w:rsidRPr="00452BCD">
        <w:rPr>
          <w:rFonts w:asciiTheme="majorBidi" w:hAnsiTheme="majorBidi" w:cstheme="majorBidi"/>
          <w:spacing w:val="-6"/>
        </w:rPr>
        <w:t xml:space="preserve"> </w:t>
      </w:r>
      <w:r w:rsidRPr="00452BCD">
        <w:rPr>
          <w:rFonts w:asciiTheme="majorBidi" w:hAnsiTheme="majorBidi" w:cstheme="majorBidi"/>
        </w:rPr>
        <w:t>(penicillin</w:t>
      </w:r>
      <w:r w:rsidRPr="00452BCD">
        <w:rPr>
          <w:rFonts w:asciiTheme="majorBidi" w:hAnsiTheme="majorBidi" w:cstheme="majorBidi"/>
          <w:spacing w:val="-5"/>
        </w:rPr>
        <w:t xml:space="preserve"> </w:t>
      </w:r>
      <w:r w:rsidRPr="00452BCD">
        <w:rPr>
          <w:rFonts w:asciiTheme="majorBidi" w:hAnsiTheme="majorBidi" w:cstheme="majorBidi"/>
        </w:rPr>
        <w:t>and</w:t>
      </w:r>
      <w:r w:rsidRPr="00452BCD">
        <w:rPr>
          <w:rFonts w:asciiTheme="majorBidi" w:hAnsiTheme="majorBidi" w:cstheme="majorBidi"/>
          <w:spacing w:val="-10"/>
        </w:rPr>
        <w:t xml:space="preserve"> </w:t>
      </w:r>
      <w:r w:rsidRPr="00452BCD">
        <w:rPr>
          <w:rFonts w:asciiTheme="majorBidi" w:hAnsiTheme="majorBidi" w:cstheme="majorBidi"/>
        </w:rPr>
        <w:t>streptomycin) and EDTA</w:t>
      </w:r>
      <w:r w:rsidRPr="00452BCD">
        <w:rPr>
          <w:rFonts w:asciiTheme="majorBidi" w:hAnsiTheme="majorBidi" w:cstheme="majorBidi"/>
          <w:spacing w:val="-5"/>
        </w:rPr>
        <w:t xml:space="preserve"> </w:t>
      </w:r>
      <w:r w:rsidRPr="00452BCD">
        <w:rPr>
          <w:rFonts w:asciiTheme="majorBidi" w:hAnsiTheme="majorBidi" w:cstheme="majorBidi"/>
        </w:rPr>
        <w:t xml:space="preserve">trypsin. </w:t>
      </w:r>
      <w:r w:rsidRPr="00452BCD">
        <w:rPr>
          <w:rFonts w:asciiTheme="majorBidi" w:hAnsiTheme="majorBidi" w:cstheme="majorBidi"/>
          <w:spacing w:val="-1"/>
        </w:rPr>
        <w:t>MTT</w:t>
      </w:r>
      <w:r w:rsidRPr="00452BCD">
        <w:rPr>
          <w:rFonts w:asciiTheme="majorBidi" w:hAnsiTheme="majorBidi" w:cstheme="majorBidi"/>
          <w:spacing w:val="-13"/>
        </w:rPr>
        <w:t xml:space="preserve"> </w:t>
      </w:r>
      <w:r w:rsidRPr="00452BCD">
        <w:rPr>
          <w:rFonts w:asciiTheme="majorBidi" w:hAnsiTheme="majorBidi" w:cstheme="majorBidi"/>
          <w:spacing w:val="-1"/>
        </w:rPr>
        <w:t>3-(4,</w:t>
      </w:r>
      <w:r w:rsidRPr="00452BCD">
        <w:rPr>
          <w:rFonts w:asciiTheme="majorBidi" w:hAnsiTheme="majorBidi" w:cstheme="majorBidi"/>
          <w:spacing w:val="-16"/>
        </w:rPr>
        <w:t xml:space="preserve"> </w:t>
      </w:r>
      <w:r w:rsidRPr="00452BCD">
        <w:rPr>
          <w:rFonts w:asciiTheme="majorBidi" w:hAnsiTheme="majorBidi" w:cstheme="majorBidi"/>
          <w:spacing w:val="-1"/>
        </w:rPr>
        <w:t>5-dimethythiazol-</w:t>
      </w:r>
      <w:r w:rsidRPr="00452BCD">
        <w:rPr>
          <w:rFonts w:asciiTheme="majorBidi" w:hAnsiTheme="majorBidi" w:cstheme="majorBidi"/>
          <w:spacing w:val="-14"/>
        </w:rPr>
        <w:t xml:space="preserve"> </w:t>
      </w:r>
      <w:r w:rsidRPr="00452BCD">
        <w:rPr>
          <w:rFonts w:asciiTheme="majorBidi" w:hAnsiTheme="majorBidi" w:cstheme="majorBidi"/>
        </w:rPr>
        <w:t>2-yl)-2,</w:t>
      </w:r>
      <w:r w:rsidRPr="00452BCD">
        <w:rPr>
          <w:rFonts w:asciiTheme="majorBidi" w:hAnsiTheme="majorBidi" w:cstheme="majorBidi"/>
          <w:spacing w:val="-14"/>
        </w:rPr>
        <w:t xml:space="preserve"> </w:t>
      </w:r>
      <w:r w:rsidRPr="00452BCD">
        <w:rPr>
          <w:rFonts w:asciiTheme="majorBidi" w:hAnsiTheme="majorBidi" w:cstheme="majorBidi"/>
        </w:rPr>
        <w:t>5-diphenyltetrazolium</w:t>
      </w:r>
      <w:r w:rsidRPr="00452BCD">
        <w:rPr>
          <w:rFonts w:asciiTheme="majorBidi" w:hAnsiTheme="majorBidi" w:cstheme="majorBidi"/>
          <w:spacing w:val="-15"/>
        </w:rPr>
        <w:t xml:space="preserve"> </w:t>
      </w:r>
      <w:r w:rsidRPr="00452BCD">
        <w:rPr>
          <w:rFonts w:asciiTheme="majorBidi" w:hAnsiTheme="majorBidi" w:cstheme="majorBidi"/>
        </w:rPr>
        <w:t>bromide</w:t>
      </w:r>
      <w:r w:rsidRPr="00452BCD">
        <w:rPr>
          <w:rFonts w:asciiTheme="majorBidi" w:hAnsiTheme="majorBidi" w:cstheme="majorBidi"/>
          <w:spacing w:val="-15"/>
        </w:rPr>
        <w:t xml:space="preserve"> </w:t>
      </w:r>
      <w:r w:rsidRPr="00452BCD">
        <w:rPr>
          <w:rFonts w:asciiTheme="majorBidi" w:hAnsiTheme="majorBidi" w:cstheme="majorBidi"/>
        </w:rPr>
        <w:t xml:space="preserve">was </w:t>
      </w:r>
      <w:r w:rsidRPr="00452BCD">
        <w:rPr>
          <w:rFonts w:asciiTheme="majorBidi" w:hAnsiTheme="majorBidi" w:cstheme="majorBidi"/>
          <w:spacing w:val="-1"/>
        </w:rPr>
        <w:t>purchased</w:t>
      </w:r>
      <w:r w:rsidRPr="00452BCD">
        <w:rPr>
          <w:rFonts w:asciiTheme="majorBidi" w:hAnsiTheme="majorBidi" w:cstheme="majorBidi"/>
          <w:spacing w:val="-32"/>
        </w:rPr>
        <w:t xml:space="preserve"> </w:t>
      </w:r>
      <w:r w:rsidRPr="00452BCD">
        <w:rPr>
          <w:rFonts w:asciiTheme="majorBidi" w:hAnsiTheme="majorBidi" w:cstheme="majorBidi"/>
          <w:spacing w:val="-1"/>
        </w:rPr>
        <w:t>from</w:t>
      </w:r>
      <w:r w:rsidRPr="00452BCD">
        <w:rPr>
          <w:rFonts w:asciiTheme="majorBidi" w:hAnsiTheme="majorBidi" w:cstheme="majorBidi"/>
        </w:rPr>
        <w:t xml:space="preserve"> </w:t>
      </w:r>
      <w:r w:rsidRPr="00452BCD">
        <w:rPr>
          <w:rFonts w:asciiTheme="majorBidi" w:hAnsiTheme="majorBidi" w:cstheme="majorBidi"/>
          <w:spacing w:val="-1"/>
        </w:rPr>
        <w:t>SERVA-Electrophoresis</w:t>
      </w:r>
      <w:r w:rsidRPr="00452BCD">
        <w:rPr>
          <w:rFonts w:asciiTheme="majorBidi" w:hAnsiTheme="majorBidi" w:cstheme="majorBidi"/>
          <w:spacing w:val="-2"/>
        </w:rPr>
        <w:t xml:space="preserve"> </w:t>
      </w:r>
      <w:r w:rsidRPr="00452BCD">
        <w:rPr>
          <w:rFonts w:asciiTheme="majorBidi" w:hAnsiTheme="majorBidi" w:cstheme="majorBidi"/>
        </w:rPr>
        <w:t>GmbH,</w:t>
      </w:r>
      <w:r w:rsidRPr="00452BCD">
        <w:rPr>
          <w:rFonts w:asciiTheme="majorBidi" w:hAnsiTheme="majorBidi" w:cstheme="majorBidi"/>
          <w:spacing w:val="-4"/>
        </w:rPr>
        <w:t xml:space="preserve"> </w:t>
      </w:r>
      <w:r w:rsidRPr="00452BCD">
        <w:rPr>
          <w:rFonts w:asciiTheme="majorBidi" w:hAnsiTheme="majorBidi" w:cstheme="majorBidi"/>
        </w:rPr>
        <w:t>Germany. Annexin V-FITC and</w:t>
      </w:r>
      <w:r w:rsidRPr="00452BCD">
        <w:rPr>
          <w:rFonts w:asciiTheme="majorBidi" w:hAnsiTheme="majorBidi" w:cstheme="majorBidi"/>
          <w:spacing w:val="-1"/>
        </w:rPr>
        <w:t xml:space="preserve"> </w:t>
      </w:r>
      <w:r w:rsidRPr="00452BCD">
        <w:rPr>
          <w:rFonts w:asciiTheme="majorBidi" w:hAnsiTheme="majorBidi" w:cstheme="majorBidi"/>
        </w:rPr>
        <w:t>propidium</w:t>
      </w:r>
      <w:r w:rsidRPr="00452BCD">
        <w:rPr>
          <w:rFonts w:asciiTheme="majorBidi" w:hAnsiTheme="majorBidi" w:cstheme="majorBidi"/>
          <w:spacing w:val="-2"/>
        </w:rPr>
        <w:t xml:space="preserve"> </w:t>
      </w:r>
      <w:r w:rsidRPr="00452BCD">
        <w:rPr>
          <w:rFonts w:asciiTheme="majorBidi" w:hAnsiTheme="majorBidi" w:cstheme="majorBidi"/>
        </w:rPr>
        <w:t>iodide (PI) analysis kits</w:t>
      </w:r>
      <w:r w:rsidRPr="00452BCD">
        <w:rPr>
          <w:rFonts w:asciiTheme="majorBidi" w:hAnsiTheme="majorBidi" w:cstheme="majorBidi"/>
          <w:spacing w:val="-5"/>
        </w:rPr>
        <w:t xml:space="preserve"> </w:t>
      </w:r>
      <w:r w:rsidRPr="00452BCD">
        <w:rPr>
          <w:rFonts w:asciiTheme="majorBidi" w:hAnsiTheme="majorBidi" w:cstheme="majorBidi"/>
        </w:rPr>
        <w:t>were</w:t>
      </w:r>
      <w:r w:rsidRPr="00452BCD">
        <w:rPr>
          <w:rFonts w:asciiTheme="majorBidi" w:hAnsiTheme="majorBidi" w:cstheme="majorBidi"/>
          <w:spacing w:val="-5"/>
        </w:rPr>
        <w:t xml:space="preserve"> </w:t>
      </w:r>
      <w:r w:rsidRPr="00452BCD">
        <w:rPr>
          <w:rFonts w:asciiTheme="majorBidi" w:hAnsiTheme="majorBidi" w:cstheme="majorBidi"/>
        </w:rPr>
        <w:t>purchased</w:t>
      </w:r>
      <w:r w:rsidRPr="00452BCD">
        <w:rPr>
          <w:rFonts w:asciiTheme="majorBidi" w:hAnsiTheme="majorBidi" w:cstheme="majorBidi"/>
          <w:spacing w:val="-1"/>
        </w:rPr>
        <w:t xml:space="preserve"> </w:t>
      </w:r>
      <w:r w:rsidRPr="00452BCD">
        <w:rPr>
          <w:rFonts w:asciiTheme="majorBidi" w:hAnsiTheme="majorBidi" w:cstheme="majorBidi"/>
        </w:rPr>
        <w:t>from</w:t>
      </w:r>
      <w:r w:rsidRPr="00452BCD">
        <w:rPr>
          <w:rFonts w:asciiTheme="majorBidi" w:hAnsiTheme="majorBidi" w:cstheme="majorBidi"/>
          <w:spacing w:val="-1"/>
        </w:rPr>
        <w:t xml:space="preserve"> </w:t>
      </w:r>
      <w:r w:rsidRPr="00452BCD">
        <w:rPr>
          <w:rFonts w:asciiTheme="majorBidi" w:hAnsiTheme="majorBidi" w:cstheme="majorBidi"/>
        </w:rPr>
        <w:t>Sigma,</w:t>
      </w:r>
      <w:r w:rsidRPr="00452BCD">
        <w:rPr>
          <w:rFonts w:asciiTheme="majorBidi" w:hAnsiTheme="majorBidi" w:cstheme="majorBidi"/>
          <w:spacing w:val="-3"/>
        </w:rPr>
        <w:t xml:space="preserve"> </w:t>
      </w:r>
      <w:r w:rsidRPr="00452BCD">
        <w:rPr>
          <w:rFonts w:asciiTheme="majorBidi" w:hAnsiTheme="majorBidi" w:cstheme="majorBidi"/>
        </w:rPr>
        <w:t>USA. Dimethyl sulfoxide (DMSO) was obtained from Fisher Chemical (Fisher</w:t>
      </w:r>
      <w:r w:rsidRPr="00452BCD">
        <w:rPr>
          <w:rFonts w:asciiTheme="majorBidi" w:hAnsiTheme="majorBidi" w:cstheme="majorBidi"/>
          <w:spacing w:val="-67"/>
        </w:rPr>
        <w:t xml:space="preserve"> </w:t>
      </w:r>
      <w:r w:rsidRPr="00452BCD">
        <w:rPr>
          <w:rFonts w:asciiTheme="majorBidi" w:hAnsiTheme="majorBidi" w:cstheme="majorBidi"/>
        </w:rPr>
        <w:t xml:space="preserve">Scientific), UK. Caspase-3 antibody (Cell </w:t>
      </w:r>
      <w:r w:rsidRPr="00452BCD">
        <w:rPr>
          <w:rFonts w:asciiTheme="majorBidi" w:hAnsiTheme="majorBidi" w:cstheme="majorBidi"/>
        </w:rPr>
        <w:lastRenderedPageBreak/>
        <w:t xml:space="preserve">Signaling, #9662). </w:t>
      </w:r>
      <w:proofErr w:type="spellStart"/>
      <w:r w:rsidRPr="00452BCD">
        <w:rPr>
          <w:rFonts w:asciiTheme="majorBidi" w:hAnsiTheme="majorBidi" w:cstheme="majorBidi"/>
        </w:rPr>
        <w:t>MitoTracker</w:t>
      </w:r>
      <w:proofErr w:type="spellEnd"/>
      <w:r w:rsidRPr="00452BCD">
        <w:rPr>
          <w:rFonts w:asciiTheme="majorBidi" w:hAnsiTheme="majorBidi" w:cstheme="majorBidi"/>
        </w:rPr>
        <w:t xml:space="preserve"> Red (Molecular Probes, Invitrogen, </w:t>
      </w:r>
      <w:proofErr w:type="spellStart"/>
      <w:r w:rsidRPr="00452BCD">
        <w:rPr>
          <w:rFonts w:asciiTheme="majorBidi" w:hAnsiTheme="majorBidi" w:cstheme="majorBidi"/>
        </w:rPr>
        <w:t>ThermoFisher</w:t>
      </w:r>
      <w:proofErr w:type="spellEnd"/>
      <w:r w:rsidRPr="00452BCD">
        <w:rPr>
          <w:rFonts w:asciiTheme="majorBidi" w:hAnsiTheme="majorBidi" w:cstheme="majorBidi"/>
        </w:rPr>
        <w:t xml:space="preserve"> Scientific, M7512). Hoechst 33342 (Life Technologies, USA). Reactive oxygen species (ROS) kits and antioxidant assays were supplied by </w:t>
      </w:r>
      <w:proofErr w:type="spellStart"/>
      <w:r w:rsidRPr="00452BCD">
        <w:rPr>
          <w:rFonts w:asciiTheme="majorBidi" w:hAnsiTheme="majorBidi" w:cstheme="majorBidi"/>
        </w:rPr>
        <w:t>Biodiagnostics</w:t>
      </w:r>
      <w:proofErr w:type="spellEnd"/>
      <w:r w:rsidRPr="00452BCD">
        <w:rPr>
          <w:rFonts w:asciiTheme="majorBidi" w:hAnsiTheme="majorBidi" w:cstheme="majorBidi"/>
        </w:rPr>
        <w:t>, Egypt. All other chemicals were of analytical grade.</w:t>
      </w:r>
    </w:p>
    <w:p w14:paraId="3BED9A34" w14:textId="4C857D4B" w:rsidR="00675BDC" w:rsidRDefault="00675BDC" w:rsidP="00A762A2">
      <w:pPr>
        <w:pStyle w:val="BodyText"/>
        <w:spacing w:after="160" w:line="480" w:lineRule="auto"/>
        <w:jc w:val="both"/>
        <w:rPr>
          <w:rFonts w:asciiTheme="majorBidi" w:hAnsiTheme="majorBidi" w:cstheme="majorBidi"/>
          <w:b/>
          <w:bCs/>
          <w:color w:val="FFC000" w:themeColor="accent4"/>
        </w:rPr>
      </w:pPr>
      <w:r w:rsidRPr="005058F1">
        <w:rPr>
          <w:rFonts w:asciiTheme="majorBidi" w:hAnsiTheme="majorBidi" w:cstheme="majorBidi"/>
          <w:b/>
          <w:bCs/>
        </w:rPr>
        <w:t>Cytotoxicity and selectivity index</w:t>
      </w:r>
    </w:p>
    <w:p w14:paraId="25418220" w14:textId="0CE06697" w:rsidR="00675BDC" w:rsidRPr="005058F1" w:rsidRDefault="00675BDC" w:rsidP="00675BDC">
      <w:pPr>
        <w:pStyle w:val="BodyText"/>
        <w:spacing w:before="141" w:after="160" w:line="480" w:lineRule="auto"/>
        <w:jc w:val="both"/>
        <w:rPr>
          <w:rFonts w:asciiTheme="majorBidi" w:hAnsiTheme="majorBidi" w:cstheme="majorBidi"/>
          <w:color w:val="231F20"/>
        </w:rPr>
      </w:pPr>
      <w:r w:rsidRPr="005058F1">
        <w:rPr>
          <w:rFonts w:asciiTheme="majorBidi" w:hAnsiTheme="majorBidi" w:cstheme="majorBidi"/>
          <w:color w:val="231F20"/>
        </w:rPr>
        <w:t>The cell viability (%) was calculated using the following formula:</w:t>
      </w:r>
    </w:p>
    <w:p w14:paraId="5D29D92B" w14:textId="77777777" w:rsidR="00675BDC" w:rsidRPr="005058F1" w:rsidRDefault="00675BDC" w:rsidP="00675BDC">
      <w:pPr>
        <w:pStyle w:val="BodyText"/>
        <w:spacing w:before="141" w:after="160" w:line="480" w:lineRule="auto"/>
        <w:jc w:val="both"/>
        <w:rPr>
          <w:rFonts w:asciiTheme="majorBidi" w:hAnsiTheme="majorBidi" w:cstheme="majorBidi"/>
          <w:color w:val="231F20"/>
        </w:rPr>
      </w:pPr>
    </w:p>
    <w:p w14:paraId="297D34C4" w14:textId="77777777" w:rsidR="00675BDC" w:rsidRPr="005058F1" w:rsidRDefault="00675BDC" w:rsidP="00675BDC">
      <w:pPr>
        <w:spacing w:line="480" w:lineRule="auto"/>
        <w:jc w:val="both"/>
        <w:rPr>
          <w:rFonts w:asciiTheme="majorBidi" w:hAnsiTheme="majorBidi" w:cstheme="majorBidi"/>
          <w:i/>
          <w:iCs/>
          <w:sz w:val="24"/>
          <w:szCs w:val="24"/>
        </w:rPr>
      </w:pPr>
      <m:oMathPara>
        <m:oMath>
          <m:r>
            <w:rPr>
              <w:rFonts w:ascii="Cambria Math" w:hAnsi="Cambria Math" w:cstheme="majorBidi"/>
              <w:sz w:val="24"/>
              <w:szCs w:val="24"/>
            </w:rPr>
            <m:t>Cell viability=</m:t>
          </m:r>
          <m:f>
            <m:fPr>
              <m:ctrlPr>
                <w:rPr>
                  <w:rFonts w:ascii="Cambria Math" w:hAnsi="Cambria Math" w:cstheme="majorBidi"/>
                  <w:i/>
                  <w:iCs/>
                  <w:sz w:val="24"/>
                  <w:szCs w:val="24"/>
                </w:rPr>
              </m:ctrlPr>
            </m:fPr>
            <m:num>
              <m:r>
                <w:rPr>
                  <w:rFonts w:ascii="Cambria Math" w:hAnsi="Cambria Math" w:cstheme="majorBidi"/>
                  <w:sz w:val="24"/>
                  <w:szCs w:val="24"/>
                </w:rPr>
                <m:t>Optical Density (OD) of the samples</m:t>
              </m:r>
            </m:num>
            <m:den>
              <m:r>
                <w:rPr>
                  <w:rFonts w:ascii="Cambria Math" w:hAnsi="Cambria Math" w:cstheme="majorBidi"/>
                  <w:sz w:val="24"/>
                  <w:szCs w:val="24"/>
                </w:rPr>
                <m:t>OD of the controls</m:t>
              </m:r>
            </m:den>
          </m:f>
          <m:r>
            <w:rPr>
              <w:rFonts w:ascii="Cambria Math" w:hAnsi="Cambria Math" w:cstheme="majorBidi"/>
              <w:sz w:val="24"/>
              <w:szCs w:val="24"/>
            </w:rPr>
            <m:t>×100%</m:t>
          </m:r>
        </m:oMath>
      </m:oMathPara>
    </w:p>
    <w:p w14:paraId="435E1D7E" w14:textId="77777777" w:rsidR="00675BDC" w:rsidRPr="005058F1" w:rsidRDefault="00675BDC" w:rsidP="00675BDC">
      <w:pPr>
        <w:pStyle w:val="BodyText"/>
        <w:spacing w:before="141" w:after="160" w:line="480" w:lineRule="auto"/>
        <w:jc w:val="both"/>
        <w:rPr>
          <w:rFonts w:asciiTheme="majorBidi" w:hAnsiTheme="majorBidi" w:cstheme="majorBidi"/>
          <w:color w:val="231F20"/>
        </w:rPr>
      </w:pPr>
    </w:p>
    <w:p w14:paraId="0C9E3FE5" w14:textId="77777777" w:rsidR="00675BDC" w:rsidRPr="005058F1" w:rsidRDefault="00675BDC" w:rsidP="00675BDC">
      <w:pPr>
        <w:pStyle w:val="BodyText"/>
        <w:spacing w:before="141" w:after="160" w:line="480" w:lineRule="auto"/>
        <w:jc w:val="both"/>
        <w:rPr>
          <w:rFonts w:asciiTheme="majorBidi" w:hAnsiTheme="majorBidi" w:cstheme="majorBidi"/>
          <w:color w:val="231F20"/>
        </w:rPr>
      </w:pPr>
      <w:r w:rsidRPr="005058F1">
        <w:rPr>
          <w:rFonts w:asciiTheme="majorBidi" w:hAnsiTheme="majorBidi" w:cstheme="majorBidi"/>
          <w:color w:val="231F20"/>
        </w:rPr>
        <w:t xml:space="preserve"> OD of the control and OD of the sample represent the absorbance of cells cultured without or with treatment, respectively. </w:t>
      </w:r>
      <w:r w:rsidRPr="005058F1">
        <w:rPr>
          <w:rFonts w:asciiTheme="majorBidi" w:hAnsiTheme="majorBidi" w:cstheme="majorBidi"/>
          <w:color w:val="000000" w:themeColor="text1"/>
        </w:rPr>
        <w:t>The 50% inhibitory concentration (IC50) values of the three drugs were</w:t>
      </w:r>
      <w:r w:rsidRPr="005058F1">
        <w:rPr>
          <w:rFonts w:asciiTheme="majorBidi" w:hAnsiTheme="majorBidi" w:cstheme="majorBidi"/>
          <w:color w:val="000000" w:themeColor="text1"/>
          <w:spacing w:val="1"/>
        </w:rPr>
        <w:t xml:space="preserve"> </w:t>
      </w:r>
      <w:r w:rsidRPr="005058F1">
        <w:rPr>
          <w:rFonts w:asciiTheme="majorBidi" w:hAnsiTheme="majorBidi" w:cstheme="majorBidi"/>
          <w:color w:val="000000" w:themeColor="text1"/>
        </w:rPr>
        <w:t xml:space="preserve">calculated using </w:t>
      </w:r>
      <w:r w:rsidRPr="005058F1">
        <w:rPr>
          <w:rStyle w:val="fmainbody"/>
        </w:rPr>
        <w:t>GraphPad Prism version 9.5.1.</w:t>
      </w:r>
    </w:p>
    <w:p w14:paraId="2E05F4DB" w14:textId="77777777" w:rsidR="00675BDC" w:rsidRPr="005058F1" w:rsidRDefault="00675BDC" w:rsidP="00675BDC">
      <w:pPr>
        <w:pStyle w:val="BodyText"/>
        <w:spacing w:before="141" w:after="160" w:line="480" w:lineRule="auto"/>
        <w:jc w:val="both"/>
        <w:rPr>
          <w:rFonts w:asciiTheme="majorBidi" w:hAnsiTheme="majorBidi" w:cstheme="majorBidi"/>
          <w:color w:val="000000" w:themeColor="text1"/>
        </w:rPr>
      </w:pPr>
      <w:r w:rsidRPr="005058F1">
        <w:rPr>
          <w:rFonts w:asciiTheme="majorBidi" w:hAnsiTheme="majorBidi" w:cstheme="majorBidi"/>
          <w:color w:val="000000" w:themeColor="text1"/>
        </w:rPr>
        <w:t>The selectivity of each compound to SCC4 cells was calculated using the following formula:</w:t>
      </w:r>
    </w:p>
    <w:p w14:paraId="358F4608" w14:textId="77777777" w:rsidR="00675BDC" w:rsidRPr="005058F1" w:rsidRDefault="00675BDC" w:rsidP="00675BDC">
      <w:pPr>
        <w:pStyle w:val="BodyText"/>
        <w:spacing w:before="141" w:after="160" w:line="480" w:lineRule="auto"/>
        <w:jc w:val="both"/>
        <w:rPr>
          <w:rFonts w:asciiTheme="majorBidi" w:hAnsiTheme="majorBidi" w:cstheme="majorBidi"/>
          <w:color w:val="000000" w:themeColor="text1"/>
        </w:rPr>
      </w:pPr>
      <m:oMathPara>
        <m:oMath>
          <m:r>
            <w:rPr>
              <w:rFonts w:ascii="Cambria Math" w:hAnsi="Cambria Math" w:cstheme="majorBidi"/>
              <w:color w:val="000000" w:themeColor="text1"/>
            </w:rPr>
            <m:t>Selectivity index (SI)=</m:t>
          </m:r>
          <m:f>
            <m:fPr>
              <m:ctrlPr>
                <w:rPr>
                  <w:rFonts w:ascii="Cambria Math" w:hAnsi="Cambria Math" w:cstheme="majorBidi"/>
                  <w:i/>
                  <w:color w:val="000000" w:themeColor="text1"/>
                </w:rPr>
              </m:ctrlPr>
            </m:fPr>
            <m:num>
              <m:r>
                <w:rPr>
                  <w:rFonts w:ascii="Cambria Math" w:hAnsi="Cambria Math" w:cstheme="majorBidi"/>
                  <w:color w:val="000000" w:themeColor="text1"/>
                </w:rPr>
                <m:t>IC50 for normal cell line</m:t>
              </m:r>
            </m:num>
            <m:den>
              <m:r>
                <w:rPr>
                  <w:rFonts w:ascii="Cambria Math" w:hAnsi="Cambria Math" w:cstheme="majorBidi"/>
                  <w:color w:val="000000" w:themeColor="text1"/>
                </w:rPr>
                <m:t>IC50 for cancer cell line</m:t>
              </m:r>
            </m:den>
          </m:f>
          <m:r>
            <w:rPr>
              <w:rFonts w:ascii="Cambria Math" w:hAnsi="Cambria Math" w:cstheme="majorBidi"/>
              <w:color w:val="000000" w:themeColor="text1"/>
            </w:rPr>
            <m:t xml:space="preserve"> </m:t>
          </m:r>
        </m:oMath>
      </m:oMathPara>
    </w:p>
    <w:p w14:paraId="6D1BDF61" w14:textId="77777777" w:rsidR="008774F5" w:rsidRDefault="008774F5" w:rsidP="00675BDC">
      <w:pPr>
        <w:spacing w:line="480" w:lineRule="auto"/>
        <w:jc w:val="both"/>
        <w:rPr>
          <w:rFonts w:asciiTheme="majorBidi" w:hAnsiTheme="majorBidi" w:cstheme="majorBidi"/>
          <w:b/>
          <w:bCs/>
          <w:sz w:val="24"/>
          <w:szCs w:val="24"/>
        </w:rPr>
      </w:pPr>
    </w:p>
    <w:p w14:paraId="13B07DA1" w14:textId="74DA131B" w:rsidR="00675BDC" w:rsidRPr="005058F1" w:rsidRDefault="00675BDC" w:rsidP="00675BDC">
      <w:pPr>
        <w:spacing w:line="480" w:lineRule="auto"/>
        <w:jc w:val="both"/>
        <w:rPr>
          <w:rFonts w:asciiTheme="majorBidi" w:hAnsiTheme="majorBidi" w:cstheme="majorBidi"/>
          <w:b/>
          <w:bCs/>
          <w:sz w:val="24"/>
          <w:szCs w:val="24"/>
        </w:rPr>
      </w:pPr>
      <w:proofErr w:type="spellStart"/>
      <w:r w:rsidRPr="005058F1">
        <w:rPr>
          <w:rFonts w:asciiTheme="majorBidi" w:hAnsiTheme="majorBidi" w:cstheme="majorBidi"/>
          <w:b/>
          <w:bCs/>
          <w:sz w:val="24"/>
          <w:szCs w:val="24"/>
        </w:rPr>
        <w:t>Clonogenic</w:t>
      </w:r>
      <w:proofErr w:type="spellEnd"/>
      <w:r w:rsidRPr="005058F1">
        <w:rPr>
          <w:rFonts w:asciiTheme="majorBidi" w:hAnsiTheme="majorBidi" w:cstheme="majorBidi"/>
          <w:b/>
          <w:bCs/>
          <w:sz w:val="24"/>
          <w:szCs w:val="24"/>
        </w:rPr>
        <w:t xml:space="preserve"> survival assay </w:t>
      </w:r>
    </w:p>
    <w:p w14:paraId="62681331" w14:textId="4C6C6135" w:rsidR="00BE04F2" w:rsidRPr="00452BCD" w:rsidRDefault="00BE04F2" w:rsidP="00BE04F2">
      <w:pPr>
        <w:pStyle w:val="BodyText"/>
        <w:spacing w:before="67" w:after="160" w:line="480" w:lineRule="auto"/>
        <w:jc w:val="both"/>
        <w:rPr>
          <w:rFonts w:asciiTheme="majorBidi" w:hAnsiTheme="majorBidi" w:cstheme="majorBidi"/>
        </w:rPr>
      </w:pPr>
      <w:r w:rsidRPr="00452BCD">
        <w:rPr>
          <w:rFonts w:asciiTheme="majorBidi" w:hAnsiTheme="majorBidi" w:cstheme="majorBidi"/>
        </w:rPr>
        <w:t>We calculated the plating efficiency (PE) and survival fraction (SF) were calculated using the following formulas</w:t>
      </w:r>
      <w:r>
        <w:rPr>
          <w:rFonts w:asciiTheme="majorBidi" w:hAnsiTheme="majorBidi" w:cstheme="majorBidi"/>
        </w:rPr>
        <w:t>:</w:t>
      </w:r>
      <w:r w:rsidR="008774F5" w:rsidRPr="00452BCD">
        <w:rPr>
          <w:rFonts w:asciiTheme="majorBidi" w:hAnsiTheme="majorBidi" w:cstheme="majorBidi"/>
        </w:rPr>
        <w:t xml:space="preserve"> </w:t>
      </w:r>
    </w:p>
    <w:p w14:paraId="4A5990CD" w14:textId="510F130F" w:rsidR="00BE04F2" w:rsidRPr="00452BCD" w:rsidRDefault="00BE04F2" w:rsidP="00BE04F2">
      <w:pPr>
        <w:pStyle w:val="BodyText"/>
        <w:spacing w:before="67" w:after="160" w:line="480" w:lineRule="auto"/>
        <w:jc w:val="both"/>
        <w:rPr>
          <w:rFonts w:asciiTheme="majorBidi" w:hAnsiTheme="majorBidi" w:cstheme="majorBidi"/>
        </w:rPr>
      </w:pPr>
    </w:p>
    <w:p w14:paraId="6914DA24" w14:textId="4423D81A" w:rsidR="00BE04F2" w:rsidRPr="00452BCD" w:rsidRDefault="00BE04F2" w:rsidP="00BE04F2">
      <w:pPr>
        <w:pStyle w:val="BodyText"/>
        <w:spacing w:before="67" w:after="160" w:line="480" w:lineRule="auto"/>
        <w:jc w:val="both"/>
        <w:rPr>
          <w:rFonts w:asciiTheme="majorBidi" w:hAnsiTheme="majorBidi" w:cstheme="majorBidi"/>
        </w:rPr>
      </w:pPr>
      <m:oMathPara>
        <m:oMath>
          <m:r>
            <w:rPr>
              <w:rFonts w:ascii="Cambria Math" w:hAnsi="Cambria Math" w:cstheme="majorBidi"/>
            </w:rPr>
            <w:lastRenderedPageBreak/>
            <m:t>PE=</m:t>
          </m:r>
          <m:f>
            <m:fPr>
              <m:ctrlPr>
                <w:rPr>
                  <w:rFonts w:ascii="Cambria Math" w:hAnsi="Cambria Math" w:cstheme="majorBidi"/>
                  <w:i/>
                </w:rPr>
              </m:ctrlPr>
            </m:fPr>
            <m:num>
              <m:r>
                <w:rPr>
                  <w:rFonts w:ascii="Cambria Math" w:hAnsi="Cambria Math" w:cstheme="majorBidi"/>
                </w:rPr>
                <m:t>Number of colonies formed</m:t>
              </m:r>
            </m:num>
            <m:den>
              <m:r>
                <w:rPr>
                  <w:rFonts w:ascii="Cambria Math" w:hAnsi="Cambria Math" w:cstheme="majorBidi"/>
                </w:rPr>
                <m:t>Number of seeded cells</m:t>
              </m:r>
            </m:den>
          </m:f>
          <m:r>
            <w:rPr>
              <w:rFonts w:ascii="Cambria Math" w:hAnsi="Cambria Math" w:cstheme="majorBidi"/>
            </w:rPr>
            <m:t xml:space="preserve"> × 100%</m:t>
          </m:r>
        </m:oMath>
      </m:oMathPara>
    </w:p>
    <w:p w14:paraId="600196D4" w14:textId="60D38970" w:rsidR="00BE04F2" w:rsidRPr="00452BCD" w:rsidRDefault="00BE04F2" w:rsidP="00BE04F2">
      <w:pPr>
        <w:pStyle w:val="BodyText"/>
        <w:spacing w:before="67" w:after="160" w:line="480" w:lineRule="auto"/>
        <w:jc w:val="both"/>
        <w:rPr>
          <w:rFonts w:asciiTheme="majorBidi" w:hAnsiTheme="majorBidi" w:cstheme="majorBidi"/>
        </w:rPr>
      </w:pPr>
      <m:oMathPara>
        <m:oMath>
          <m:r>
            <w:rPr>
              <w:rFonts w:ascii="Cambria Math" w:hAnsi="Cambria Math" w:cstheme="majorBidi"/>
            </w:rPr>
            <m:t>SF=</m:t>
          </m:r>
          <m:f>
            <m:fPr>
              <m:ctrlPr>
                <w:rPr>
                  <w:rFonts w:ascii="Cambria Math" w:hAnsi="Cambria Math" w:cstheme="majorBidi"/>
                  <w:i/>
                </w:rPr>
              </m:ctrlPr>
            </m:fPr>
            <m:num>
              <m:r>
                <w:rPr>
                  <w:rFonts w:ascii="Cambria Math" w:hAnsi="Cambria Math" w:cstheme="majorBidi"/>
                </w:rPr>
                <m:t>Number of colonies formed after treatment</m:t>
              </m:r>
            </m:num>
            <m:den>
              <m:r>
                <w:rPr>
                  <w:rFonts w:ascii="Cambria Math" w:hAnsi="Cambria Math" w:cstheme="majorBidi"/>
                </w:rPr>
                <m:t>Number of seeded cells x PE of untreated cells</m:t>
              </m:r>
            </m:den>
          </m:f>
          <m:r>
            <w:rPr>
              <w:rFonts w:ascii="Cambria Math" w:hAnsi="Cambria Math" w:cstheme="majorBidi"/>
            </w:rPr>
            <m:t xml:space="preserve"> × 100%</m:t>
          </m:r>
        </m:oMath>
      </m:oMathPara>
    </w:p>
    <w:p w14:paraId="463695B7" w14:textId="77777777" w:rsidR="00675BDC" w:rsidRPr="005058F1" w:rsidRDefault="00675BDC" w:rsidP="00675BDC">
      <w:pPr>
        <w:pStyle w:val="NormalWeb"/>
        <w:spacing w:after="160" w:afterAutospacing="0" w:line="480" w:lineRule="auto"/>
        <w:jc w:val="both"/>
        <w:rPr>
          <w:rFonts w:asciiTheme="majorBidi" w:hAnsiTheme="majorBidi" w:cstheme="majorBidi"/>
          <w:b/>
          <w:bCs/>
        </w:rPr>
      </w:pPr>
      <w:r w:rsidRPr="005058F1">
        <w:rPr>
          <w:rFonts w:asciiTheme="majorBidi" w:hAnsiTheme="majorBidi" w:cstheme="majorBidi"/>
          <w:b/>
          <w:bCs/>
        </w:rPr>
        <w:t xml:space="preserve">Wound healing assay </w:t>
      </w:r>
    </w:p>
    <w:p w14:paraId="371A6F0A" w14:textId="259B4767" w:rsidR="00675BDC" w:rsidRPr="005058F1" w:rsidRDefault="00675BDC" w:rsidP="00675BDC">
      <w:pPr>
        <w:pStyle w:val="BodyText"/>
        <w:spacing w:before="141" w:after="160" w:line="480" w:lineRule="auto"/>
        <w:jc w:val="both"/>
        <w:rPr>
          <w:rFonts w:asciiTheme="majorBidi" w:hAnsiTheme="majorBidi" w:cstheme="majorBidi"/>
        </w:rPr>
      </w:pPr>
      <w:r w:rsidRPr="005058F1">
        <w:rPr>
          <w:rFonts w:asciiTheme="majorBidi" w:hAnsiTheme="majorBidi" w:cstheme="majorBidi"/>
          <w:color w:val="231F20"/>
        </w:rPr>
        <w:t xml:space="preserve">Migration rates were calculated using </w:t>
      </w:r>
      <w:r w:rsidRPr="005058F1">
        <w:rPr>
          <w:rFonts w:asciiTheme="majorBidi" w:hAnsiTheme="majorBidi" w:cstheme="majorBidi"/>
          <w:color w:val="231F20"/>
          <w:spacing w:val="-5"/>
        </w:rPr>
        <w:t xml:space="preserve">the </w:t>
      </w:r>
      <w:r w:rsidRPr="005058F1">
        <w:rPr>
          <w:rFonts w:asciiTheme="majorBidi" w:hAnsiTheme="majorBidi" w:cstheme="majorBidi"/>
          <w:color w:val="231F20"/>
        </w:rPr>
        <w:t>following equation</w:t>
      </w:r>
      <w:r w:rsidR="00684822">
        <w:rPr>
          <w:rFonts w:asciiTheme="majorBidi" w:hAnsiTheme="majorBidi" w:cstheme="majorBidi"/>
          <w:color w:val="231F20"/>
        </w:rPr>
        <w:t>:</w:t>
      </w:r>
    </w:p>
    <w:p w14:paraId="0C229925" w14:textId="00B6C0E4" w:rsidR="00675BDC" w:rsidRPr="005058F1" w:rsidRDefault="00A762A2" w:rsidP="00675BDC">
      <w:pPr>
        <w:pStyle w:val="BodyText"/>
        <w:spacing w:before="9" w:after="160" w:line="480" w:lineRule="auto"/>
        <w:jc w:val="both"/>
        <w:rPr>
          <w:rFonts w:asciiTheme="majorBidi" w:hAnsiTheme="majorBidi" w:cstheme="majorBidi"/>
        </w:rPr>
      </w:pPr>
      <m:oMathPara>
        <m:oMath>
          <m:r>
            <w:rPr>
              <w:rFonts w:ascii="Cambria Math" w:hAnsi="Cambria Math" w:cstheme="majorBidi"/>
              <w:color w:val="231F20"/>
            </w:rPr>
            <m:t>Migration rate</m:t>
          </m:r>
          <m:d>
            <m:dPr>
              <m:ctrlPr>
                <w:rPr>
                  <w:rFonts w:ascii="Cambria Math" w:hAnsi="Cambria Math" w:cstheme="majorBidi"/>
                  <w:i/>
                  <w:color w:val="231F20"/>
                </w:rPr>
              </m:ctrlPr>
            </m:dPr>
            <m:e>
              <m:r>
                <w:rPr>
                  <w:rFonts w:ascii="Cambria Math" w:hAnsi="Cambria Math" w:cstheme="majorBidi"/>
                  <w:color w:val="231F20"/>
                </w:rPr>
                <m:t>%</m:t>
              </m:r>
            </m:e>
          </m:d>
          <m:r>
            <w:rPr>
              <w:rFonts w:ascii="Cambria Math" w:hAnsi="Cambria Math" w:cstheme="majorBidi"/>
              <w:color w:val="231F20"/>
            </w:rPr>
            <m:t>=</m:t>
          </m:r>
          <m:f>
            <m:fPr>
              <m:ctrlPr>
                <w:rPr>
                  <w:rFonts w:ascii="Cambria Math" w:hAnsi="Cambria Math" w:cstheme="majorBidi"/>
                  <w:i/>
                  <w:color w:val="231F20"/>
                </w:rPr>
              </m:ctrlPr>
            </m:fPr>
            <m:num>
              <m:r>
                <w:rPr>
                  <w:rFonts w:ascii="Cambria Math" w:hAnsi="Cambria Math" w:cstheme="majorBidi"/>
                  <w:color w:val="231F20"/>
                </w:rPr>
                <m:t>initial distance-final distance</m:t>
              </m:r>
            </m:num>
            <m:den>
              <m:r>
                <w:rPr>
                  <w:rFonts w:ascii="Cambria Math" w:hAnsi="Cambria Math" w:cstheme="majorBidi"/>
                  <w:color w:val="231F20"/>
                </w:rPr>
                <m:t>initial distance</m:t>
              </m:r>
            </m:den>
          </m:f>
          <m:r>
            <w:rPr>
              <w:rFonts w:ascii="Cambria Math" w:hAnsi="Cambria Math" w:cstheme="majorBidi"/>
              <w:color w:val="231F20"/>
            </w:rPr>
            <m:t xml:space="preserve"> ×100%</m:t>
          </m:r>
        </m:oMath>
      </m:oMathPara>
    </w:p>
    <w:p w14:paraId="2659D0FF" w14:textId="4FF4E309" w:rsidR="00675BDC" w:rsidRPr="005058F1" w:rsidRDefault="00675BDC" w:rsidP="00A762A2">
      <w:pPr>
        <w:pStyle w:val="BodyText"/>
        <w:spacing w:before="226" w:after="160" w:line="480" w:lineRule="auto"/>
        <w:jc w:val="both"/>
        <w:rPr>
          <w:rFonts w:asciiTheme="majorBidi" w:hAnsiTheme="majorBidi" w:cstheme="majorBidi"/>
          <w:color w:val="231F20"/>
        </w:rPr>
      </w:pPr>
    </w:p>
    <w:p w14:paraId="5EB39516" w14:textId="21737C9B" w:rsidR="00675BDC" w:rsidRPr="005058F1" w:rsidRDefault="00675BDC" w:rsidP="005E5F87">
      <w:pPr>
        <w:pStyle w:val="BodyText"/>
        <w:spacing w:before="226" w:after="160" w:line="480" w:lineRule="auto"/>
        <w:jc w:val="both"/>
        <w:rPr>
          <w:rFonts w:asciiTheme="majorBidi" w:hAnsiTheme="majorBidi" w:cstheme="majorBidi"/>
        </w:rPr>
      </w:pPr>
      <w:r w:rsidRPr="005058F1">
        <w:rPr>
          <w:rFonts w:asciiTheme="majorBidi" w:hAnsiTheme="majorBidi" w:cstheme="majorBidi"/>
          <w:color w:val="231F20"/>
        </w:rPr>
        <w:t>The initial distance designated the width of the gap at 0 h. The final distance referred to the wound gap after 24, 48 and 72 h incubation with the proposed treatments</w:t>
      </w:r>
      <w:r w:rsidR="00450507">
        <w:rPr>
          <w:rFonts w:asciiTheme="majorBidi" w:hAnsiTheme="majorBidi" w:cstheme="majorBidi"/>
          <w:color w:val="231F20"/>
        </w:rPr>
        <w:t xml:space="preserve">. Analysis was done using </w:t>
      </w:r>
      <w:r w:rsidR="00450507" w:rsidRPr="00452BCD">
        <w:rPr>
          <w:rFonts w:asciiTheme="majorBidi" w:hAnsiTheme="majorBidi" w:cstheme="majorBidi"/>
        </w:rPr>
        <w:t>ImageJ (1.54f, NIH, USA)</w:t>
      </w:r>
      <w:r w:rsidR="00450507">
        <w:rPr>
          <w:rFonts w:asciiTheme="majorBidi" w:hAnsiTheme="majorBidi" w:cstheme="majorBidi"/>
        </w:rPr>
        <w:t>.</w:t>
      </w:r>
    </w:p>
    <w:p w14:paraId="42E36818" w14:textId="77777777" w:rsidR="00675BDC" w:rsidRPr="005058F1" w:rsidRDefault="00675BDC" w:rsidP="00675BDC">
      <w:pPr>
        <w:pStyle w:val="NormalWeb"/>
        <w:spacing w:after="160" w:afterAutospacing="0" w:line="480" w:lineRule="auto"/>
        <w:jc w:val="both"/>
        <w:rPr>
          <w:rFonts w:asciiTheme="majorBidi" w:hAnsiTheme="majorBidi" w:cstheme="majorBidi"/>
          <w:b/>
          <w:bCs/>
          <w:color w:val="000000" w:themeColor="text1"/>
        </w:rPr>
      </w:pPr>
      <w:r w:rsidRPr="005058F1">
        <w:rPr>
          <w:rFonts w:asciiTheme="majorBidi" w:hAnsiTheme="majorBidi" w:cstheme="majorBidi"/>
          <w:b/>
          <w:bCs/>
          <w:color w:val="000000" w:themeColor="text1"/>
        </w:rPr>
        <w:t xml:space="preserve">Mitochondrial assessment during apoptosis </w:t>
      </w:r>
    </w:p>
    <w:p w14:paraId="291D4C2B" w14:textId="4D97C95F" w:rsidR="00675BDC" w:rsidRPr="005058F1" w:rsidRDefault="00675BDC" w:rsidP="005E5F87">
      <w:pPr>
        <w:pStyle w:val="NormalWeb"/>
        <w:spacing w:after="160" w:afterAutospacing="0" w:line="480" w:lineRule="auto"/>
        <w:jc w:val="both"/>
        <w:rPr>
          <w:rFonts w:asciiTheme="majorBidi" w:hAnsiTheme="majorBidi" w:cstheme="majorBidi"/>
          <w:color w:val="000000"/>
        </w:rPr>
      </w:pPr>
      <w:r w:rsidRPr="005058F1">
        <w:rPr>
          <w:rFonts w:asciiTheme="majorBidi" w:hAnsiTheme="majorBidi" w:cstheme="majorBidi"/>
        </w:rPr>
        <w:t xml:space="preserve">Cancer cells were plated in 6‐well glass bottom plates at a </w:t>
      </w:r>
      <w:r w:rsidRPr="00393815">
        <w:rPr>
          <w:rFonts w:asciiTheme="majorBidi" w:hAnsiTheme="majorBidi" w:cstheme="majorBidi"/>
        </w:rPr>
        <w:t xml:space="preserve">concentration of 2 </w:t>
      </w:r>
      <w:r w:rsidR="00393815" w:rsidRPr="00393815">
        <w:rPr>
          <w:rFonts w:asciiTheme="majorBidi" w:hAnsiTheme="majorBidi" w:cstheme="majorBidi"/>
        </w:rPr>
        <w:t>×</w:t>
      </w:r>
      <w:r w:rsidRPr="00393815">
        <w:rPr>
          <w:rFonts w:asciiTheme="majorBidi" w:hAnsiTheme="majorBidi" w:cstheme="majorBidi"/>
        </w:rPr>
        <w:t xml:space="preserve"> 10</w:t>
      </w:r>
      <w:r w:rsidR="008774F5" w:rsidRPr="00393815">
        <w:rPr>
          <w:rFonts w:asciiTheme="majorBidi" w:hAnsiTheme="majorBidi" w:cstheme="majorBidi"/>
          <w:vertAlign w:val="superscript"/>
        </w:rPr>
        <w:t>5</w:t>
      </w:r>
      <w:r w:rsidRPr="00393815">
        <w:rPr>
          <w:rFonts w:asciiTheme="majorBidi" w:hAnsiTheme="majorBidi" w:cstheme="majorBidi"/>
        </w:rPr>
        <w:t xml:space="preserve"> cells</w:t>
      </w:r>
      <w:r w:rsidRPr="005058F1">
        <w:rPr>
          <w:rFonts w:asciiTheme="majorBidi" w:hAnsiTheme="majorBidi" w:cstheme="majorBidi"/>
        </w:rPr>
        <w:t xml:space="preserve">/well in 2 ml growth medium and were allowed to attach overnight. After adding 100 </w:t>
      </w:r>
      <w:proofErr w:type="spellStart"/>
      <w:r w:rsidRPr="005058F1">
        <w:rPr>
          <w:rFonts w:asciiTheme="majorBidi" w:hAnsiTheme="majorBidi" w:cstheme="majorBidi"/>
        </w:rPr>
        <w:t>nM</w:t>
      </w:r>
      <w:proofErr w:type="spellEnd"/>
      <w:r w:rsidRPr="005058F1">
        <w:rPr>
          <w:rFonts w:asciiTheme="majorBidi" w:hAnsiTheme="majorBidi" w:cstheme="majorBidi"/>
        </w:rPr>
        <w:t xml:space="preserve"> </w:t>
      </w:r>
      <w:proofErr w:type="spellStart"/>
      <w:r w:rsidRPr="005058F1">
        <w:rPr>
          <w:rFonts w:asciiTheme="majorBidi" w:hAnsiTheme="majorBidi" w:cstheme="majorBidi"/>
        </w:rPr>
        <w:t>MitoTracker</w:t>
      </w:r>
      <w:proofErr w:type="spellEnd"/>
      <w:r w:rsidRPr="005058F1">
        <w:rPr>
          <w:rFonts w:asciiTheme="majorBidi" w:hAnsiTheme="majorBidi" w:cstheme="majorBidi"/>
        </w:rPr>
        <w:t xml:space="preserve"> Red, the cells were incubated for 1 h in a CO</w:t>
      </w:r>
      <w:r w:rsidRPr="005058F1">
        <w:rPr>
          <w:rFonts w:asciiTheme="majorBidi" w:hAnsiTheme="majorBidi" w:cstheme="majorBidi"/>
          <w:vertAlign w:val="subscript"/>
        </w:rPr>
        <w:t>2</w:t>
      </w:r>
      <w:r w:rsidRPr="005058F1">
        <w:rPr>
          <w:rFonts w:asciiTheme="majorBidi" w:hAnsiTheme="majorBidi" w:cstheme="majorBidi"/>
        </w:rPr>
        <w:t xml:space="preserve"> incubator at 37°C. Prior to fluorescence imaging, nuclear staining was done, where treated cells were fixed with 4% paraformaldehyde for 10 min at room temperature, washed three times with PBS, permeabilized in Triton X-100 (0.2%) for 10 min, washed three times with PBS, and incubated with 1 </w:t>
      </w:r>
      <w:proofErr w:type="spellStart"/>
      <w:r w:rsidRPr="005058F1">
        <w:rPr>
          <w:rFonts w:asciiTheme="majorBidi" w:hAnsiTheme="majorBidi" w:cstheme="majorBidi"/>
        </w:rPr>
        <w:t>μg</w:t>
      </w:r>
      <w:proofErr w:type="spellEnd"/>
      <w:r w:rsidRPr="005058F1">
        <w:rPr>
          <w:rFonts w:asciiTheme="majorBidi" w:hAnsiTheme="majorBidi" w:cstheme="majorBidi"/>
        </w:rPr>
        <w:t xml:space="preserve">/ml Hoechst 33342 for 10 min. Visualization was done using confocal microscope Leica DMi8 (Leica, </w:t>
      </w:r>
      <w:proofErr w:type="spellStart"/>
      <w:r w:rsidRPr="005058F1">
        <w:rPr>
          <w:rFonts w:asciiTheme="majorBidi" w:hAnsiTheme="majorBidi" w:cstheme="majorBidi"/>
        </w:rPr>
        <w:t>Wetzlar</w:t>
      </w:r>
      <w:proofErr w:type="spellEnd"/>
      <w:r w:rsidRPr="005058F1">
        <w:rPr>
          <w:rFonts w:asciiTheme="majorBidi" w:hAnsiTheme="majorBidi" w:cstheme="majorBidi"/>
        </w:rPr>
        <w:t xml:space="preserve">, Germany) </w:t>
      </w:r>
      <w:r w:rsidRPr="005058F1">
        <w:rPr>
          <w:rFonts w:asciiTheme="majorBidi" w:hAnsiTheme="majorBidi" w:cstheme="majorBidi"/>
          <w:color w:val="000000"/>
        </w:rPr>
        <w:t xml:space="preserve">equipped with a 63x oil immersion lens. The images were captured and analyzed using </w:t>
      </w:r>
      <w:r w:rsidRPr="005058F1">
        <w:rPr>
          <w:rFonts w:asciiTheme="majorBidi" w:hAnsiTheme="majorBidi" w:cstheme="majorBidi"/>
          <w:color w:val="000000" w:themeColor="text1"/>
        </w:rPr>
        <w:t>ImageJ (1.54f, NIH, USA).</w:t>
      </w:r>
      <w:r w:rsidRPr="005058F1">
        <w:rPr>
          <w:rFonts w:asciiTheme="majorBidi" w:hAnsiTheme="majorBidi" w:cstheme="majorBidi"/>
          <w:color w:val="000000"/>
        </w:rPr>
        <w:t xml:space="preserve"> </w:t>
      </w:r>
    </w:p>
    <w:p w14:paraId="61D3DB4A" w14:textId="77777777" w:rsidR="005E5F87" w:rsidRDefault="005E5F87" w:rsidP="00675BDC">
      <w:pPr>
        <w:pStyle w:val="BodyText"/>
        <w:spacing w:after="160" w:line="480" w:lineRule="auto"/>
        <w:jc w:val="both"/>
        <w:rPr>
          <w:rFonts w:asciiTheme="majorBidi" w:hAnsiTheme="majorBidi" w:cstheme="majorBidi"/>
          <w:b/>
          <w:bCs/>
        </w:rPr>
      </w:pPr>
    </w:p>
    <w:p w14:paraId="767D9A8D" w14:textId="5EA065EA" w:rsidR="00675BDC" w:rsidRPr="005058F1" w:rsidRDefault="00675BDC" w:rsidP="00675BDC">
      <w:pPr>
        <w:pStyle w:val="BodyText"/>
        <w:spacing w:after="160" w:line="480" w:lineRule="auto"/>
        <w:jc w:val="both"/>
        <w:rPr>
          <w:rFonts w:asciiTheme="majorBidi" w:hAnsiTheme="majorBidi" w:cstheme="majorBidi"/>
          <w:b/>
          <w:bCs/>
        </w:rPr>
      </w:pPr>
      <w:r w:rsidRPr="005058F1">
        <w:rPr>
          <w:rFonts w:asciiTheme="majorBidi" w:hAnsiTheme="majorBidi" w:cstheme="majorBidi"/>
          <w:b/>
          <w:bCs/>
        </w:rPr>
        <w:t>Reverse transcription quantitative polymerase chain reaction (</w:t>
      </w:r>
      <w:proofErr w:type="spellStart"/>
      <w:r w:rsidRPr="005058F1">
        <w:rPr>
          <w:rFonts w:asciiTheme="majorBidi" w:hAnsiTheme="majorBidi" w:cstheme="majorBidi"/>
          <w:b/>
          <w:bCs/>
        </w:rPr>
        <w:t>RTqPCR</w:t>
      </w:r>
      <w:proofErr w:type="spellEnd"/>
      <w:r w:rsidRPr="005058F1">
        <w:rPr>
          <w:rFonts w:asciiTheme="majorBidi" w:hAnsiTheme="majorBidi" w:cstheme="majorBidi"/>
          <w:b/>
          <w:bCs/>
        </w:rPr>
        <w:t xml:space="preserve">) </w:t>
      </w:r>
    </w:p>
    <w:p w14:paraId="4B9F1440" w14:textId="77777777" w:rsidR="00675BDC" w:rsidRPr="005E5F87" w:rsidRDefault="00675BDC" w:rsidP="00675BDC">
      <w:pPr>
        <w:pStyle w:val="BodyText"/>
        <w:spacing w:after="160" w:line="480" w:lineRule="auto"/>
        <w:jc w:val="both"/>
        <w:rPr>
          <w:rFonts w:asciiTheme="majorBidi" w:hAnsiTheme="majorBidi" w:cstheme="majorBidi"/>
          <w:i/>
          <w:iCs/>
        </w:rPr>
      </w:pPr>
      <w:r w:rsidRPr="005E5F87">
        <w:rPr>
          <w:rFonts w:asciiTheme="majorBidi" w:hAnsiTheme="majorBidi" w:cstheme="majorBidi"/>
          <w:b/>
          <w:bCs/>
          <w:i/>
          <w:iCs/>
        </w:rPr>
        <w:t>Isolation and reverse transcription of RNA</w:t>
      </w:r>
    </w:p>
    <w:p w14:paraId="530E9D66" w14:textId="77777777" w:rsidR="005E5F87" w:rsidRDefault="00675BDC" w:rsidP="005E5F87">
      <w:pPr>
        <w:spacing w:line="480" w:lineRule="auto"/>
        <w:jc w:val="both"/>
        <w:rPr>
          <w:rFonts w:asciiTheme="majorBidi" w:hAnsiTheme="majorBidi" w:cstheme="majorBidi"/>
          <w:sz w:val="24"/>
          <w:szCs w:val="24"/>
        </w:rPr>
      </w:pPr>
      <w:bookmarkStart w:id="3" w:name="_Hlk155548972"/>
      <w:r w:rsidRPr="005058F1">
        <w:rPr>
          <w:rFonts w:asciiTheme="majorBidi" w:hAnsiTheme="majorBidi" w:cstheme="majorBidi"/>
          <w:sz w:val="24"/>
          <w:szCs w:val="24"/>
        </w:rPr>
        <w:t xml:space="preserve">After forming a confluent monolayer of cells in 6-well plates, the cells were washed twice with ice cold PBS and lysed with 500 </w:t>
      </w:r>
      <w:proofErr w:type="spellStart"/>
      <w:r w:rsidRPr="005058F1">
        <w:rPr>
          <w:rFonts w:asciiTheme="majorBidi" w:hAnsiTheme="majorBidi" w:cstheme="majorBidi"/>
          <w:sz w:val="24"/>
          <w:szCs w:val="24"/>
        </w:rPr>
        <w:t>μL</w:t>
      </w:r>
      <w:proofErr w:type="spellEnd"/>
      <w:r w:rsidRPr="005058F1">
        <w:rPr>
          <w:rFonts w:asciiTheme="majorBidi" w:hAnsiTheme="majorBidi" w:cstheme="majorBidi"/>
          <w:sz w:val="24"/>
          <w:szCs w:val="24"/>
        </w:rPr>
        <w:t xml:space="preserve"> </w:t>
      </w:r>
      <w:proofErr w:type="spellStart"/>
      <w:r w:rsidRPr="005058F1">
        <w:rPr>
          <w:rFonts w:asciiTheme="majorBidi" w:hAnsiTheme="majorBidi" w:cstheme="majorBidi"/>
          <w:sz w:val="24"/>
          <w:szCs w:val="24"/>
        </w:rPr>
        <w:t>Qiazole</w:t>
      </w:r>
      <w:proofErr w:type="spellEnd"/>
      <w:r w:rsidRPr="005058F1">
        <w:rPr>
          <w:rFonts w:asciiTheme="majorBidi" w:hAnsiTheme="majorBidi" w:cstheme="majorBidi"/>
          <w:sz w:val="24"/>
          <w:szCs w:val="24"/>
        </w:rPr>
        <w:t>. Total RNA was isolated using spin protocol (Qiagen RNeasy Mini Kit #74104). RNA concentrations and purity were detected on a Thermo Scientific ND2000 Nanodrop Spectrophotometer and stored at -80 °C. A high-capacity cDNA reverse transcription kit (Life Technologies #4374966) was used for reverse transcription of the total RNA</w:t>
      </w:r>
      <w:r w:rsidR="005E5F87">
        <w:rPr>
          <w:rFonts w:asciiTheme="majorBidi" w:hAnsiTheme="majorBidi" w:cstheme="majorBidi"/>
          <w:sz w:val="24"/>
          <w:szCs w:val="24"/>
        </w:rPr>
        <w:t xml:space="preserve"> </w:t>
      </w:r>
      <w:r w:rsidRPr="005058F1">
        <w:rPr>
          <w:rFonts w:asciiTheme="majorBidi" w:hAnsiTheme="majorBidi" w:cstheme="majorBidi"/>
          <w:sz w:val="24"/>
          <w:szCs w:val="24"/>
        </w:rPr>
        <w:t>(12.5-25 ng/</w:t>
      </w:r>
      <w:proofErr w:type="spellStart"/>
      <w:r w:rsidRPr="005058F1">
        <w:rPr>
          <w:rFonts w:asciiTheme="majorBidi" w:hAnsiTheme="majorBidi" w:cstheme="majorBidi"/>
          <w:sz w:val="24"/>
          <w:szCs w:val="24"/>
        </w:rPr>
        <w:t>μL</w:t>
      </w:r>
      <w:proofErr w:type="spellEnd"/>
      <w:r w:rsidRPr="005058F1">
        <w:rPr>
          <w:rFonts w:asciiTheme="majorBidi" w:hAnsiTheme="majorBidi" w:cstheme="majorBidi"/>
          <w:sz w:val="24"/>
          <w:szCs w:val="24"/>
        </w:rPr>
        <w:t xml:space="preserve">) on a thermal cycler (Applied Biosystems </w:t>
      </w:r>
      <w:proofErr w:type="spellStart"/>
      <w:r w:rsidRPr="005058F1">
        <w:rPr>
          <w:rFonts w:asciiTheme="majorBidi" w:hAnsiTheme="majorBidi" w:cstheme="majorBidi"/>
          <w:sz w:val="24"/>
          <w:szCs w:val="24"/>
        </w:rPr>
        <w:t>SimpliAmp</w:t>
      </w:r>
      <w:proofErr w:type="spellEnd"/>
      <w:r w:rsidRPr="005058F1">
        <w:rPr>
          <w:rFonts w:asciiTheme="majorBidi" w:hAnsiTheme="majorBidi" w:cstheme="majorBidi"/>
          <w:sz w:val="24"/>
          <w:szCs w:val="24"/>
        </w:rPr>
        <w:t xml:space="preserve"> PCR System A24811). cDNA was stored at -20 until qPCR experiments.</w:t>
      </w:r>
      <w:bookmarkEnd w:id="3"/>
    </w:p>
    <w:p w14:paraId="40BCA9AB" w14:textId="72B93DE0" w:rsidR="00450507" w:rsidRPr="005E5F87" w:rsidRDefault="00675BDC" w:rsidP="005E5F87">
      <w:pPr>
        <w:spacing w:line="480" w:lineRule="auto"/>
        <w:jc w:val="both"/>
        <w:rPr>
          <w:rFonts w:asciiTheme="majorBidi" w:hAnsiTheme="majorBidi" w:cstheme="majorBidi"/>
          <w:i/>
          <w:iCs/>
          <w:sz w:val="24"/>
          <w:szCs w:val="24"/>
        </w:rPr>
      </w:pPr>
      <w:r w:rsidRPr="005E5F87">
        <w:rPr>
          <w:rFonts w:asciiTheme="majorBidi" w:hAnsiTheme="majorBidi" w:cstheme="majorBidi"/>
          <w:b/>
          <w:bCs/>
          <w:i/>
          <w:iCs/>
        </w:rPr>
        <w:t>Real time PCR and data quantification</w:t>
      </w:r>
      <w:r w:rsidRPr="005E5F87">
        <w:rPr>
          <w:rFonts w:asciiTheme="majorBidi" w:hAnsiTheme="majorBidi" w:cstheme="majorBidi"/>
          <w:i/>
          <w:iCs/>
        </w:rPr>
        <w:t xml:space="preserve"> </w:t>
      </w:r>
    </w:p>
    <w:p w14:paraId="52AE9FE7" w14:textId="219B120C" w:rsidR="000A606A" w:rsidRDefault="00675BDC" w:rsidP="006F1332">
      <w:pPr>
        <w:pStyle w:val="BodyText"/>
        <w:spacing w:line="480" w:lineRule="auto"/>
        <w:jc w:val="both"/>
        <w:rPr>
          <w:rFonts w:asciiTheme="majorBidi" w:hAnsiTheme="majorBidi" w:cstheme="majorBidi"/>
          <w:strike/>
        </w:rPr>
      </w:pPr>
      <w:bookmarkStart w:id="4" w:name="_Hlk155549053"/>
      <w:r w:rsidRPr="005058F1">
        <w:rPr>
          <w:rFonts w:asciiTheme="majorBidi" w:hAnsiTheme="majorBidi" w:cstheme="majorBidi"/>
        </w:rPr>
        <w:t xml:space="preserve"> cDNA (5-10 ng/</w:t>
      </w:r>
      <w:proofErr w:type="spellStart"/>
      <w:r w:rsidRPr="005058F1">
        <w:rPr>
          <w:rFonts w:asciiTheme="majorBidi" w:hAnsiTheme="majorBidi" w:cstheme="majorBidi"/>
        </w:rPr>
        <w:t>μL</w:t>
      </w:r>
      <w:proofErr w:type="spellEnd"/>
      <w:r w:rsidRPr="005058F1">
        <w:rPr>
          <w:rFonts w:asciiTheme="majorBidi" w:hAnsiTheme="majorBidi" w:cstheme="majorBidi"/>
        </w:rPr>
        <w:t xml:space="preserve">) was amplified with assay primers (100 </w:t>
      </w:r>
      <w:proofErr w:type="spellStart"/>
      <w:r w:rsidRPr="005058F1">
        <w:rPr>
          <w:rFonts w:asciiTheme="majorBidi" w:hAnsiTheme="majorBidi" w:cstheme="majorBidi"/>
        </w:rPr>
        <w:t>nM</w:t>
      </w:r>
      <w:proofErr w:type="spellEnd"/>
      <w:r w:rsidRPr="005058F1">
        <w:rPr>
          <w:rFonts w:asciiTheme="majorBidi" w:hAnsiTheme="majorBidi" w:cstheme="majorBidi"/>
        </w:rPr>
        <w:t xml:space="preserve"> each; </w:t>
      </w:r>
      <w:proofErr w:type="spellStart"/>
      <w:r w:rsidRPr="005058F1">
        <w:rPr>
          <w:rFonts w:asciiTheme="majorBidi" w:hAnsiTheme="majorBidi" w:cstheme="majorBidi"/>
        </w:rPr>
        <w:t>Biosearch</w:t>
      </w:r>
      <w:proofErr w:type="spellEnd"/>
      <w:r w:rsidRPr="005058F1">
        <w:rPr>
          <w:rFonts w:asciiTheme="majorBidi" w:hAnsiTheme="majorBidi" w:cstheme="majorBidi"/>
        </w:rPr>
        <w:t xml:space="preserve"> Technologies (Novato, CA, USA) and Maxima SYBR Green/ROX kit (Thermo Scientific #K0221) on a Rotor-Gene Q, Qiagen 900163. Using the relative quantification (</w:t>
      </w:r>
      <w:proofErr w:type="spellStart"/>
      <w:r w:rsidRPr="005058F1">
        <w:rPr>
          <w:rFonts w:asciiTheme="majorBidi" w:hAnsiTheme="majorBidi" w:cstheme="majorBidi"/>
        </w:rPr>
        <w:t>ΔΔCt</w:t>
      </w:r>
      <w:proofErr w:type="spellEnd"/>
      <w:r w:rsidRPr="005058F1">
        <w:rPr>
          <w:rFonts w:asciiTheme="majorBidi" w:hAnsiTheme="majorBidi" w:cstheme="majorBidi"/>
        </w:rPr>
        <w:t xml:space="preserve">) method, analysis of gene expression was performed with Qiagen Q-Rex Software. Results were displayed as fold change relative to HPRT (2 </w:t>
      </w:r>
      <w:r w:rsidRPr="005058F1">
        <w:rPr>
          <w:rFonts w:asciiTheme="majorBidi" w:hAnsiTheme="majorBidi" w:cstheme="majorBidi"/>
          <w:vertAlign w:val="superscript"/>
        </w:rPr>
        <w:t>-</w:t>
      </w:r>
      <w:proofErr w:type="spellStart"/>
      <w:r w:rsidRPr="005058F1">
        <w:rPr>
          <w:rFonts w:asciiTheme="majorBidi" w:hAnsiTheme="majorBidi" w:cstheme="majorBidi"/>
          <w:vertAlign w:val="superscript"/>
        </w:rPr>
        <w:t>ΔΔCt</w:t>
      </w:r>
      <w:proofErr w:type="spellEnd"/>
      <w:r w:rsidRPr="005058F1">
        <w:rPr>
          <w:rFonts w:asciiTheme="majorBidi" w:hAnsiTheme="majorBidi" w:cstheme="majorBidi"/>
        </w:rPr>
        <w:t xml:space="preserve">). </w:t>
      </w:r>
      <w:bookmarkEnd w:id="4"/>
    </w:p>
    <w:p w14:paraId="55102CE7" w14:textId="68976BE3" w:rsidR="006F1332" w:rsidRDefault="006F1332" w:rsidP="006F1332">
      <w:pPr>
        <w:pStyle w:val="BodyText"/>
        <w:spacing w:line="480" w:lineRule="auto"/>
        <w:jc w:val="both"/>
        <w:rPr>
          <w:rFonts w:asciiTheme="majorBidi" w:hAnsiTheme="majorBidi" w:cstheme="majorBidi"/>
          <w:strike/>
        </w:rPr>
      </w:pPr>
    </w:p>
    <w:p w14:paraId="1412D8BB" w14:textId="32113BAD" w:rsidR="006F1332" w:rsidRDefault="006F1332" w:rsidP="006F1332">
      <w:pPr>
        <w:pStyle w:val="BodyText"/>
        <w:spacing w:line="480" w:lineRule="auto"/>
        <w:jc w:val="both"/>
        <w:rPr>
          <w:rFonts w:asciiTheme="majorBidi" w:hAnsiTheme="majorBidi" w:cstheme="majorBidi"/>
          <w:strike/>
        </w:rPr>
      </w:pPr>
    </w:p>
    <w:p w14:paraId="1C764568" w14:textId="747C2C7B" w:rsidR="00675BDC" w:rsidRPr="000A606A" w:rsidRDefault="00675BDC" w:rsidP="000A606A">
      <w:pPr>
        <w:spacing w:line="480" w:lineRule="auto"/>
        <w:jc w:val="both"/>
        <w:rPr>
          <w:rFonts w:asciiTheme="majorBidi" w:hAnsiTheme="majorBidi" w:cstheme="majorBidi"/>
          <w:b/>
          <w:bCs/>
          <w:sz w:val="24"/>
          <w:szCs w:val="24"/>
        </w:rPr>
      </w:pPr>
      <w:r w:rsidRPr="000A606A">
        <w:rPr>
          <w:rFonts w:asciiTheme="majorBidi" w:hAnsiTheme="majorBidi" w:cstheme="majorBidi"/>
          <w:b/>
          <w:bCs/>
          <w:sz w:val="24"/>
          <w:szCs w:val="24"/>
        </w:rPr>
        <w:t xml:space="preserve">Oxidative </w:t>
      </w:r>
      <w:r w:rsidR="006F1332">
        <w:rPr>
          <w:rFonts w:asciiTheme="majorBidi" w:hAnsiTheme="majorBidi" w:cstheme="majorBidi"/>
          <w:b/>
          <w:bCs/>
          <w:sz w:val="24"/>
          <w:szCs w:val="24"/>
        </w:rPr>
        <w:t>s</w:t>
      </w:r>
      <w:r w:rsidRPr="000A606A">
        <w:rPr>
          <w:rFonts w:asciiTheme="majorBidi" w:hAnsiTheme="majorBidi" w:cstheme="majorBidi"/>
          <w:b/>
          <w:bCs/>
          <w:sz w:val="24"/>
          <w:szCs w:val="24"/>
        </w:rPr>
        <w:t xml:space="preserve">tress </w:t>
      </w:r>
      <w:r w:rsidR="006F1332">
        <w:rPr>
          <w:rFonts w:asciiTheme="majorBidi" w:hAnsiTheme="majorBidi" w:cstheme="majorBidi"/>
          <w:b/>
          <w:bCs/>
          <w:sz w:val="24"/>
          <w:szCs w:val="24"/>
        </w:rPr>
        <w:t>b</w:t>
      </w:r>
      <w:r w:rsidRPr="000A606A">
        <w:rPr>
          <w:rFonts w:asciiTheme="majorBidi" w:hAnsiTheme="majorBidi" w:cstheme="majorBidi"/>
          <w:b/>
          <w:bCs/>
          <w:sz w:val="24"/>
          <w:szCs w:val="24"/>
        </w:rPr>
        <w:t xml:space="preserve">iomarkers </w:t>
      </w:r>
      <w:r w:rsidR="006F1332">
        <w:rPr>
          <w:rFonts w:asciiTheme="majorBidi" w:hAnsiTheme="majorBidi" w:cstheme="majorBidi"/>
          <w:b/>
          <w:bCs/>
          <w:sz w:val="24"/>
          <w:szCs w:val="24"/>
        </w:rPr>
        <w:t>a</w:t>
      </w:r>
      <w:r w:rsidRPr="000A606A">
        <w:rPr>
          <w:rFonts w:asciiTheme="majorBidi" w:hAnsiTheme="majorBidi" w:cstheme="majorBidi"/>
          <w:b/>
          <w:bCs/>
          <w:sz w:val="24"/>
          <w:szCs w:val="24"/>
        </w:rPr>
        <w:t>ssay</w:t>
      </w:r>
    </w:p>
    <w:p w14:paraId="005156D1" w14:textId="22CCABC5" w:rsidR="00675BDC" w:rsidRPr="005058F1" w:rsidRDefault="00675BDC" w:rsidP="008774F5">
      <w:pPr>
        <w:spacing w:line="480" w:lineRule="auto"/>
        <w:jc w:val="both"/>
        <w:rPr>
          <w:rFonts w:asciiTheme="majorBidi" w:hAnsiTheme="majorBidi" w:cstheme="majorBidi"/>
          <w:sz w:val="24"/>
          <w:szCs w:val="24"/>
        </w:rPr>
      </w:pPr>
      <w:r w:rsidRPr="005058F1">
        <w:rPr>
          <w:rFonts w:asciiTheme="majorBidi" w:hAnsiTheme="majorBidi" w:cstheme="majorBidi"/>
          <w:sz w:val="24"/>
          <w:szCs w:val="24"/>
        </w:rPr>
        <w:t>Oxidative stress was assessed in the culture media by measuring the ratio of the lipid peroxidation product malondialdehyde (MDA) to total antioxidant capacity (TAC) after administering the IC50s of the three medications.</w:t>
      </w:r>
      <w:r w:rsidR="000A606A">
        <w:rPr>
          <w:rFonts w:asciiTheme="majorBidi" w:hAnsiTheme="majorBidi" w:cstheme="majorBidi"/>
          <w:sz w:val="24"/>
          <w:szCs w:val="24"/>
        </w:rPr>
        <w:t xml:space="preserve"> </w:t>
      </w:r>
      <w:r w:rsidRPr="005058F1">
        <w:rPr>
          <w:rFonts w:asciiTheme="majorBidi" w:hAnsiTheme="majorBidi" w:cstheme="majorBidi"/>
          <w:sz w:val="24"/>
          <w:szCs w:val="24"/>
        </w:rPr>
        <w:t xml:space="preserve">MDA was measured using the </w:t>
      </w:r>
      <w:proofErr w:type="spellStart"/>
      <w:r w:rsidRPr="005058F1">
        <w:rPr>
          <w:rFonts w:asciiTheme="majorBidi" w:hAnsiTheme="majorBidi" w:cstheme="majorBidi"/>
          <w:sz w:val="24"/>
          <w:szCs w:val="24"/>
        </w:rPr>
        <w:t>thiobarbituric</w:t>
      </w:r>
      <w:proofErr w:type="spellEnd"/>
      <w:r w:rsidRPr="005058F1">
        <w:rPr>
          <w:rFonts w:asciiTheme="majorBidi" w:hAnsiTheme="majorBidi" w:cstheme="majorBidi"/>
          <w:sz w:val="24"/>
          <w:szCs w:val="24"/>
        </w:rPr>
        <w:t xml:space="preserve"> acid (TBA) </w:t>
      </w:r>
      <w:r w:rsidRPr="005058F1">
        <w:rPr>
          <w:rFonts w:asciiTheme="majorBidi" w:hAnsiTheme="majorBidi" w:cstheme="majorBidi"/>
          <w:sz w:val="24"/>
          <w:szCs w:val="24"/>
        </w:rPr>
        <w:lastRenderedPageBreak/>
        <w:t>spectrophotometric method and the colored product was measured at 534 nm. TAC was detected by the reaction of antioxidants in the sample with a defined amount of exogenously provided H</w:t>
      </w:r>
      <w:r w:rsidRPr="005058F1">
        <w:rPr>
          <w:rFonts w:asciiTheme="majorBidi" w:hAnsiTheme="majorBidi" w:cstheme="majorBidi"/>
          <w:sz w:val="24"/>
          <w:szCs w:val="24"/>
          <w:vertAlign w:val="subscript"/>
        </w:rPr>
        <w:t>2</w:t>
      </w:r>
      <w:r w:rsidRPr="005058F1">
        <w:rPr>
          <w:rFonts w:asciiTheme="majorBidi" w:hAnsiTheme="majorBidi" w:cstheme="majorBidi"/>
          <w:sz w:val="24"/>
          <w:szCs w:val="24"/>
        </w:rPr>
        <w:t>O</w:t>
      </w:r>
      <w:r w:rsidRPr="005058F1">
        <w:rPr>
          <w:rFonts w:asciiTheme="majorBidi" w:hAnsiTheme="majorBidi" w:cstheme="majorBidi"/>
          <w:sz w:val="24"/>
          <w:szCs w:val="24"/>
          <w:vertAlign w:val="subscript"/>
        </w:rPr>
        <w:t>2</w:t>
      </w:r>
      <w:r w:rsidRPr="005058F1">
        <w:rPr>
          <w:rFonts w:asciiTheme="majorBidi" w:hAnsiTheme="majorBidi" w:cstheme="majorBidi"/>
          <w:sz w:val="24"/>
          <w:szCs w:val="24"/>
        </w:rPr>
        <w:t>. The resultant-colored product was measured at 505</w:t>
      </w:r>
      <w:r w:rsidR="006F1332">
        <w:rPr>
          <w:rFonts w:asciiTheme="majorBidi" w:hAnsiTheme="majorBidi" w:cstheme="majorBidi"/>
          <w:sz w:val="24"/>
          <w:szCs w:val="24"/>
        </w:rPr>
        <w:t xml:space="preserve"> nm</w:t>
      </w:r>
      <w:r w:rsidRPr="005058F1">
        <w:rPr>
          <w:rFonts w:asciiTheme="majorBidi" w:hAnsiTheme="majorBidi" w:cstheme="majorBidi"/>
          <w:sz w:val="24"/>
          <w:szCs w:val="24"/>
        </w:rPr>
        <w:t>. The ratio of MDA/TAC was calculated by dividing the MDA (nmol/mL) value by the TAC (mM/L).</w:t>
      </w:r>
      <w:r w:rsidR="008774F5" w:rsidRPr="005058F1">
        <w:rPr>
          <w:rFonts w:asciiTheme="majorBidi" w:hAnsiTheme="majorBidi" w:cstheme="majorBidi"/>
          <w:sz w:val="24"/>
          <w:szCs w:val="24"/>
        </w:rPr>
        <w:t xml:space="preserve"> </w:t>
      </w:r>
    </w:p>
    <w:bookmarkEnd w:id="1"/>
    <w:p w14:paraId="1AF5BDEE" w14:textId="77777777" w:rsidR="0048133B" w:rsidRDefault="0048133B" w:rsidP="0048133B">
      <w:pPr>
        <w:spacing w:line="480" w:lineRule="auto"/>
        <w:jc w:val="both"/>
        <w:rPr>
          <w:rFonts w:asciiTheme="majorBidi" w:hAnsiTheme="majorBidi" w:cstheme="majorBidi"/>
          <w:b/>
          <w:bCs/>
          <w:color w:val="231F20"/>
          <w:sz w:val="28"/>
          <w:szCs w:val="28"/>
        </w:rPr>
      </w:pPr>
      <w:r w:rsidRPr="00E91976">
        <w:rPr>
          <w:rFonts w:asciiTheme="majorBidi" w:hAnsiTheme="majorBidi" w:cstheme="majorBidi"/>
          <w:b/>
          <w:bCs/>
          <w:color w:val="231F20"/>
          <w:sz w:val="28"/>
          <w:szCs w:val="28"/>
        </w:rPr>
        <w:t>Results</w:t>
      </w:r>
    </w:p>
    <w:p w14:paraId="608420DC" w14:textId="77777777" w:rsidR="0048133B" w:rsidRPr="006F1332" w:rsidRDefault="0048133B" w:rsidP="0048133B">
      <w:pPr>
        <w:spacing w:line="480" w:lineRule="auto"/>
        <w:jc w:val="both"/>
        <w:rPr>
          <w:rFonts w:asciiTheme="majorBidi" w:hAnsiTheme="majorBidi" w:cstheme="majorBidi"/>
          <w:b/>
          <w:bCs/>
          <w:i/>
          <w:iCs/>
          <w:sz w:val="24"/>
          <w:szCs w:val="24"/>
        </w:rPr>
      </w:pPr>
      <w:r w:rsidRPr="006F1332">
        <w:rPr>
          <w:rFonts w:asciiTheme="majorBidi" w:hAnsiTheme="majorBidi" w:cstheme="majorBidi"/>
          <w:b/>
          <w:bCs/>
          <w:i/>
          <w:iCs/>
          <w:sz w:val="24"/>
          <w:szCs w:val="28"/>
          <w:lang w:bidi="ar-EG"/>
        </w:rPr>
        <w:t>Fourier Transform Infrared Spectroscopy (</w:t>
      </w:r>
      <w:r w:rsidRPr="006F1332">
        <w:rPr>
          <w:rFonts w:asciiTheme="majorBidi" w:hAnsiTheme="majorBidi" w:cstheme="majorBidi"/>
          <w:b/>
          <w:bCs/>
          <w:i/>
          <w:iCs/>
          <w:sz w:val="24"/>
          <w:szCs w:val="24"/>
        </w:rPr>
        <w:t>FTIR)</w:t>
      </w:r>
    </w:p>
    <w:p w14:paraId="47ED8A1D" w14:textId="6CB5B99F" w:rsidR="0048133B" w:rsidRPr="009A02BC" w:rsidRDefault="0048133B" w:rsidP="0048133B">
      <w:pPr>
        <w:spacing w:line="480" w:lineRule="auto"/>
        <w:jc w:val="both"/>
        <w:rPr>
          <w:rFonts w:asciiTheme="majorBidi" w:hAnsiTheme="majorBidi" w:cstheme="majorBidi"/>
          <w:b/>
          <w:bCs/>
          <w:color w:val="231F20"/>
          <w:sz w:val="24"/>
          <w:szCs w:val="24"/>
        </w:rPr>
      </w:pPr>
      <w:r w:rsidRPr="009A02BC">
        <w:rPr>
          <w:rFonts w:asciiTheme="majorBidi" w:hAnsiTheme="majorBidi" w:cstheme="majorBidi"/>
          <w:color w:val="231F20"/>
          <w:sz w:val="24"/>
          <w:szCs w:val="24"/>
        </w:rPr>
        <w:t>By imploring FTIR analysis</w:t>
      </w:r>
      <w:r w:rsidRPr="009A02BC">
        <w:rPr>
          <w:rFonts w:asciiTheme="majorBidi" w:hAnsiTheme="majorBidi" w:cstheme="majorBidi"/>
          <w:sz w:val="24"/>
          <w:szCs w:val="24"/>
        </w:rPr>
        <w:t>,</w:t>
      </w:r>
      <w:r>
        <w:rPr>
          <w:rFonts w:asciiTheme="majorBidi" w:hAnsiTheme="majorBidi" w:cstheme="majorBidi"/>
          <w:sz w:val="24"/>
          <w:szCs w:val="24"/>
        </w:rPr>
        <w:t xml:space="preserve"> the </w:t>
      </w:r>
      <w:r w:rsidRPr="00E91976">
        <w:rPr>
          <w:rFonts w:asciiTheme="majorBidi" w:hAnsiTheme="majorBidi" w:cstheme="majorBidi"/>
          <w:sz w:val="24"/>
          <w:szCs w:val="24"/>
        </w:rPr>
        <w:t>THC IR spectrum shows that the hydroxyl group (O–H) exhibited a broad absorption band at 3408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C–H</w:t>
      </w:r>
      <w:r w:rsidRPr="00E91976">
        <w:rPr>
          <w:rFonts w:asciiTheme="majorBidi" w:hAnsiTheme="majorBidi" w:cstheme="majorBidi"/>
          <w:sz w:val="24"/>
          <w:szCs w:val="24"/>
          <w:vertAlign w:val="superscript"/>
        </w:rPr>
        <w:t>sp2</w:t>
      </w:r>
      <w:r w:rsidRPr="00E91976">
        <w:rPr>
          <w:rFonts w:asciiTheme="majorBidi" w:hAnsiTheme="majorBidi" w:cstheme="majorBidi"/>
          <w:sz w:val="24"/>
          <w:szCs w:val="24"/>
        </w:rPr>
        <w:t xml:space="preserve"> at 3064 and 3003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and C–H</w:t>
      </w:r>
      <w:r w:rsidRPr="00E91976">
        <w:rPr>
          <w:rFonts w:asciiTheme="majorBidi" w:hAnsiTheme="majorBidi" w:cstheme="majorBidi"/>
          <w:sz w:val="24"/>
          <w:szCs w:val="24"/>
          <w:vertAlign w:val="superscript"/>
        </w:rPr>
        <w:t>sp3</w:t>
      </w:r>
      <w:r w:rsidRPr="00E91976">
        <w:rPr>
          <w:rFonts w:asciiTheme="majorBidi" w:hAnsiTheme="majorBidi" w:cstheme="majorBidi"/>
          <w:sz w:val="24"/>
          <w:szCs w:val="24"/>
        </w:rPr>
        <w:t xml:space="preserve"> at 2961, 2933, and 2844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The vibrations of the carbonyl bond (C=O) were identified by a strong band at 1595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and the keto-enol tautomerism of THC was identified by a tiny shoulder at 1664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Medium absorption bands at 1449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for C–H bending of the methyl groups, 1404 cm</w:t>
      </w:r>
      <w:r w:rsidRPr="00E91976">
        <w:rPr>
          <w:rFonts w:asciiTheme="majorBidi" w:hAnsiTheme="majorBidi" w:cstheme="majorBidi"/>
          <w:sz w:val="24"/>
          <w:szCs w:val="24"/>
          <w:vertAlign w:val="superscript"/>
        </w:rPr>
        <w:t xml:space="preserve">-1 </w:t>
      </w:r>
      <w:r w:rsidRPr="00E91976">
        <w:rPr>
          <w:rFonts w:asciiTheme="majorBidi" w:hAnsiTheme="majorBidi" w:cstheme="majorBidi"/>
          <w:sz w:val="24"/>
          <w:szCs w:val="24"/>
        </w:rPr>
        <w:t>for O–H bending, and 1113 cm</w:t>
      </w:r>
      <w:r w:rsidRPr="00E91976">
        <w:rPr>
          <w:rFonts w:asciiTheme="majorBidi" w:hAnsiTheme="majorBidi" w:cstheme="majorBidi"/>
          <w:sz w:val="24"/>
          <w:szCs w:val="24"/>
          <w:vertAlign w:val="superscript"/>
        </w:rPr>
        <w:t xml:space="preserve">-1 </w:t>
      </w:r>
      <w:r w:rsidRPr="00E91976">
        <w:rPr>
          <w:rFonts w:asciiTheme="majorBidi" w:hAnsiTheme="majorBidi" w:cstheme="majorBidi"/>
          <w:sz w:val="24"/>
          <w:szCs w:val="24"/>
        </w:rPr>
        <w:t>for C–OH were present. A strong, sharp vibrational band at 1509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for aromatic ring C=C stretching, 1262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for enol C–O stretching, and 1031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for –C–O–CH</w:t>
      </w:r>
      <w:r w:rsidRPr="00E91976">
        <w:rPr>
          <w:rFonts w:asciiTheme="majorBidi" w:hAnsiTheme="majorBidi" w:cstheme="majorBidi"/>
          <w:sz w:val="24"/>
          <w:szCs w:val="24"/>
          <w:vertAlign w:val="subscript"/>
        </w:rPr>
        <w:t>3</w:t>
      </w:r>
      <w:r w:rsidRPr="00E91976">
        <w:rPr>
          <w:rFonts w:asciiTheme="majorBidi" w:hAnsiTheme="majorBidi" w:cstheme="majorBidi"/>
          <w:sz w:val="24"/>
          <w:szCs w:val="24"/>
        </w:rPr>
        <w:t xml:space="preserve"> stretching. SPC spectrum exhibited characteristic peaks at 1733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and 1242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which were attributed to C=O stretching and P–O asymmetric stretching, respectively. The strong peaks at 2922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and 2852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and the weak peak at 1374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in SPC could be due to stretching and deformation of methyl groups. The peak at 1457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observed in SPC could be due to bending vibration of CH</w:t>
      </w:r>
      <w:r w:rsidRPr="00E91976">
        <w:rPr>
          <w:rFonts w:asciiTheme="majorBidi" w:hAnsiTheme="majorBidi" w:cstheme="majorBidi"/>
          <w:sz w:val="24"/>
          <w:szCs w:val="24"/>
          <w:vertAlign w:val="subscript"/>
        </w:rPr>
        <w:t>2</w:t>
      </w:r>
      <w:r w:rsidRPr="00E91976">
        <w:rPr>
          <w:rFonts w:asciiTheme="majorBidi" w:hAnsiTheme="majorBidi" w:cstheme="majorBidi"/>
          <w:sz w:val="24"/>
          <w:szCs w:val="24"/>
        </w:rPr>
        <w:t>. While the peak at 1089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referred to C–O–P symmetric stretching. Additionally, the band at 967.4 cm</w:t>
      </w:r>
      <w:r w:rsidRPr="00E91976">
        <w:rPr>
          <w:rFonts w:asciiTheme="majorBidi" w:hAnsiTheme="majorBidi" w:cstheme="majorBidi"/>
          <w:sz w:val="24"/>
          <w:szCs w:val="24"/>
          <w:vertAlign w:val="superscript"/>
        </w:rPr>
        <w:t>−1</w:t>
      </w:r>
      <w:r w:rsidRPr="00E91976">
        <w:rPr>
          <w:rFonts w:asciiTheme="majorBidi" w:hAnsiTheme="majorBidi" w:cstheme="majorBidi"/>
          <w:sz w:val="24"/>
          <w:szCs w:val="24"/>
        </w:rPr>
        <w:t xml:space="preserve"> might be attributed to N</w:t>
      </w:r>
      <w:r w:rsidRPr="00E91976">
        <w:rPr>
          <w:rFonts w:asciiTheme="majorBidi" w:hAnsiTheme="majorBidi" w:cstheme="majorBidi"/>
          <w:sz w:val="24"/>
          <w:szCs w:val="24"/>
          <w:vertAlign w:val="superscript"/>
        </w:rPr>
        <w:t>+</w:t>
      </w:r>
      <w:r w:rsidRPr="00E91976">
        <w:rPr>
          <w:rFonts w:asciiTheme="majorBidi" w:hAnsiTheme="majorBidi" w:cstheme="majorBidi"/>
          <w:sz w:val="24"/>
          <w:szCs w:val="24"/>
        </w:rPr>
        <w:t>(CH</w:t>
      </w:r>
      <w:r w:rsidRPr="00E91976">
        <w:rPr>
          <w:rFonts w:asciiTheme="majorBidi" w:hAnsiTheme="majorBidi" w:cstheme="majorBidi"/>
          <w:sz w:val="24"/>
          <w:szCs w:val="24"/>
          <w:vertAlign w:val="subscript"/>
        </w:rPr>
        <w:t>3</w:t>
      </w:r>
      <w:r w:rsidRPr="00E91976">
        <w:rPr>
          <w:rFonts w:asciiTheme="majorBidi" w:hAnsiTheme="majorBidi" w:cstheme="majorBidi"/>
          <w:sz w:val="24"/>
          <w:szCs w:val="24"/>
        </w:rPr>
        <w:t>)</w:t>
      </w:r>
      <w:r w:rsidRPr="00E91976">
        <w:rPr>
          <w:rFonts w:asciiTheme="majorBidi" w:hAnsiTheme="majorBidi" w:cstheme="majorBidi"/>
          <w:sz w:val="24"/>
          <w:szCs w:val="24"/>
          <w:vertAlign w:val="subscript"/>
        </w:rPr>
        <w:t>3</w:t>
      </w:r>
      <w:r w:rsidRPr="00E91976">
        <w:rPr>
          <w:rFonts w:asciiTheme="majorBidi" w:hAnsiTheme="majorBidi" w:cstheme="majorBidi"/>
          <w:sz w:val="24"/>
          <w:szCs w:val="24"/>
        </w:rPr>
        <w:t xml:space="preserve"> stretching</w:t>
      </w:r>
      <w:r w:rsidR="00196364">
        <w:rPr>
          <w:rFonts w:asciiTheme="majorBidi" w:hAnsiTheme="majorBidi" w:cstheme="majorBidi"/>
          <w:sz w:val="24"/>
          <w:szCs w:val="24"/>
        </w:rPr>
        <w:t xml:space="preserve"> </w:t>
      </w:r>
      <w:r>
        <w:rPr>
          <w:rFonts w:asciiTheme="majorBidi" w:hAnsiTheme="majorBidi" w:cstheme="majorBidi"/>
          <w:sz w:val="24"/>
          <w:szCs w:val="24"/>
        </w:rPr>
        <w:fldChar w:fldCharType="begin"/>
      </w:r>
      <w:r w:rsidR="005A5AF5">
        <w:rPr>
          <w:rFonts w:asciiTheme="majorBidi" w:hAnsiTheme="majorBidi" w:cstheme="majorBidi"/>
          <w:sz w:val="24"/>
          <w:szCs w:val="24"/>
        </w:rPr>
        <w:instrText xml:space="preserve"> ADDIN EN.CITE &lt;EndNote&gt;&lt;Cite&gt;&lt;Author&gt;Zhang&lt;/Author&gt;&lt;Year&gt;2013&lt;/Year&gt;&lt;RecNum&gt;142&lt;/RecNum&gt;&lt;DisplayText&gt;(1)&lt;/DisplayText&gt;&lt;record&gt;&lt;rec-number&gt;142&lt;/rec-number&gt;&lt;foreign-keys&gt;&lt;key app="EN" db-id="v5w9adr0920v2ie2v025p05nrwvt5eaextfd" timestamp="1711565023"&gt;142&lt;/key&gt;&lt;/foreign-keys&gt;&lt;ref-type name="Journal Article"&gt;17&lt;/ref-type&gt;&lt;contributors&gt;&lt;authors&gt;&lt;author&gt;Zhang, Jifen&lt;/author&gt;&lt;author&gt;Tang, Qin&lt;/author&gt;&lt;author&gt;Xu, Xiaoyu&lt;/author&gt;&lt;author&gt;Li, Na&lt;/author&gt;&lt;/authors&gt;&lt;/contributors&gt;&lt;titles&gt;&lt;title&gt;Development and evaluation of a novel phytosome-loaded chitosan microsphere system for curcumin delivery&lt;/title&gt;&lt;secondary-title&gt;International Journal of Pharmaceutics&lt;/secondary-title&gt;&lt;/titles&gt;&lt;periodical&gt;&lt;full-title&gt;International Journal of Pharmaceutics&lt;/full-title&gt;&lt;/periodical&gt;&lt;pages&gt;168-174&lt;/pages&gt;&lt;volume&gt;448&lt;/volume&gt;&lt;number&gt;1&lt;/number&gt;&lt;dates&gt;&lt;year&gt;2013&lt;/year&gt;&lt;/dates&gt;&lt;isbn&gt;03785173&lt;/isbn&gt;&lt;urls&gt;&lt;/urls&gt;&lt;electronic-resource-num&gt;10.1016/j.ijpharm.2013.03.021&lt;/electronic-resource-num&gt;&lt;/record&gt;&lt;/Cite&gt;&lt;/EndNote&gt;</w:instrText>
      </w:r>
      <w:r>
        <w:rPr>
          <w:rFonts w:asciiTheme="majorBidi" w:hAnsiTheme="majorBidi" w:cstheme="majorBidi"/>
          <w:sz w:val="24"/>
          <w:szCs w:val="24"/>
        </w:rPr>
        <w:fldChar w:fldCharType="separate"/>
      </w:r>
      <w:r w:rsidR="005A5AF5">
        <w:rPr>
          <w:rFonts w:asciiTheme="majorBidi" w:hAnsiTheme="majorBidi" w:cstheme="majorBidi"/>
          <w:noProof/>
          <w:sz w:val="24"/>
          <w:szCs w:val="24"/>
        </w:rPr>
        <w:t>(1)</w:t>
      </w:r>
      <w:r>
        <w:rPr>
          <w:rFonts w:asciiTheme="majorBidi" w:hAnsiTheme="majorBidi" w:cstheme="majorBidi"/>
          <w:sz w:val="24"/>
          <w:szCs w:val="24"/>
        </w:rPr>
        <w:fldChar w:fldCharType="end"/>
      </w:r>
      <w:r w:rsidR="00196364">
        <w:rPr>
          <w:rFonts w:asciiTheme="majorBidi" w:hAnsiTheme="majorBidi" w:cstheme="majorBidi"/>
          <w:sz w:val="24"/>
          <w:szCs w:val="24"/>
        </w:rPr>
        <w:t>.</w:t>
      </w:r>
    </w:p>
    <w:p w14:paraId="7ED84D7A" w14:textId="42E6EAA9" w:rsidR="0048133B" w:rsidRPr="007734D1" w:rsidRDefault="0048133B" w:rsidP="0048133B">
      <w:pPr>
        <w:spacing w:line="480" w:lineRule="auto"/>
        <w:jc w:val="both"/>
        <w:rPr>
          <w:rFonts w:asciiTheme="majorBidi" w:hAnsiTheme="majorBidi" w:cstheme="majorBidi"/>
          <w:b/>
          <w:bCs/>
          <w:color w:val="231F20"/>
          <w:sz w:val="28"/>
          <w:szCs w:val="28"/>
        </w:rPr>
      </w:pPr>
      <w:r w:rsidRPr="006F1332">
        <w:rPr>
          <w:rFonts w:asciiTheme="majorBidi" w:hAnsiTheme="majorBidi" w:cstheme="majorBidi"/>
          <w:b/>
          <w:bCs/>
          <w:i/>
          <w:iCs/>
          <w:color w:val="000000"/>
          <w:sz w:val="24"/>
          <w:szCs w:val="24"/>
        </w:rPr>
        <w:t>Stability study</w:t>
      </w:r>
      <w:r w:rsidRPr="00725CC0">
        <w:rPr>
          <w:rFonts w:asciiTheme="majorBidi" w:hAnsiTheme="majorBidi" w:cstheme="majorBidi"/>
          <w:i/>
          <w:iCs/>
          <w:color w:val="000000"/>
          <w:sz w:val="24"/>
          <w:szCs w:val="24"/>
        </w:rPr>
        <w:t>:</w:t>
      </w:r>
      <w:r>
        <w:rPr>
          <w:rFonts w:asciiTheme="majorBidi" w:hAnsiTheme="majorBidi" w:cstheme="majorBidi"/>
          <w:color w:val="000000"/>
          <w:sz w:val="24"/>
          <w:szCs w:val="24"/>
        </w:rPr>
        <w:t xml:space="preserve"> T</w:t>
      </w:r>
      <w:r w:rsidRPr="00A92251">
        <w:rPr>
          <w:rFonts w:asciiTheme="majorBidi" w:hAnsiTheme="majorBidi" w:cstheme="majorBidi"/>
          <w:sz w:val="24"/>
          <w:szCs w:val="24"/>
        </w:rPr>
        <w:t>he</w:t>
      </w:r>
      <w:r w:rsidRPr="007734D1">
        <w:rPr>
          <w:rFonts w:asciiTheme="majorBidi" w:hAnsiTheme="majorBidi" w:cstheme="majorBidi"/>
          <w:sz w:val="24"/>
          <w:szCs w:val="24"/>
        </w:rPr>
        <w:t xml:space="preserve"> colloidal properties stability of P1 was evaluated at one-month intervals for 4 months at 4°C after hydration. As shown in </w:t>
      </w:r>
      <w:r>
        <w:rPr>
          <w:rFonts w:asciiTheme="majorBidi" w:hAnsiTheme="majorBidi" w:cstheme="majorBidi"/>
          <w:sz w:val="24"/>
          <w:szCs w:val="24"/>
        </w:rPr>
        <w:t xml:space="preserve">Supplementary </w:t>
      </w:r>
      <w:r w:rsidRPr="007734D1">
        <w:rPr>
          <w:rFonts w:asciiTheme="majorBidi" w:hAnsiTheme="majorBidi" w:cstheme="majorBidi"/>
          <w:sz w:val="24"/>
          <w:szCs w:val="24"/>
        </w:rPr>
        <w:t xml:space="preserve">Table </w:t>
      </w:r>
      <w:r>
        <w:rPr>
          <w:rFonts w:asciiTheme="majorBidi" w:hAnsiTheme="majorBidi" w:cstheme="majorBidi"/>
          <w:sz w:val="24"/>
          <w:szCs w:val="24"/>
        </w:rPr>
        <w:t>1</w:t>
      </w:r>
      <w:r w:rsidRPr="007734D1">
        <w:rPr>
          <w:rFonts w:asciiTheme="majorBidi" w:hAnsiTheme="majorBidi" w:cstheme="majorBidi"/>
          <w:sz w:val="24"/>
          <w:szCs w:val="24"/>
        </w:rPr>
        <w:t>, there was non-significant change (</w:t>
      </w:r>
      <w:r w:rsidRPr="007734D1">
        <w:rPr>
          <w:rFonts w:asciiTheme="majorBidi" w:hAnsiTheme="majorBidi" w:cstheme="majorBidi"/>
          <w:i/>
          <w:iCs/>
          <w:sz w:val="24"/>
          <w:szCs w:val="24"/>
        </w:rPr>
        <w:t>p</w:t>
      </w:r>
      <w:r w:rsidRPr="007734D1">
        <w:rPr>
          <w:rFonts w:asciiTheme="majorBidi" w:hAnsiTheme="majorBidi" w:cstheme="majorBidi"/>
          <w:sz w:val="24"/>
          <w:szCs w:val="24"/>
        </w:rPr>
        <w:t xml:space="preserve"> &gt; 0.05) in PS and ZP. However, there was a significant increase in PDI values but still </w:t>
      </w:r>
      <w:r w:rsidRPr="007734D1">
        <w:rPr>
          <w:rFonts w:asciiTheme="majorBidi" w:hAnsiTheme="majorBidi" w:cstheme="majorBidi"/>
          <w:sz w:val="24"/>
          <w:szCs w:val="24"/>
        </w:rPr>
        <w:lastRenderedPageBreak/>
        <w:t>less than 0.5. These findings suggest a homogeneous size distribution, along with an absence of aggregation during the storage period at 4°C indicating good physical stability of P</w:t>
      </w:r>
      <w:r w:rsidR="00196364">
        <w:rPr>
          <w:rFonts w:asciiTheme="majorBidi" w:hAnsiTheme="majorBidi" w:cstheme="majorBidi"/>
          <w:sz w:val="24"/>
          <w:szCs w:val="24"/>
        </w:rPr>
        <w:t xml:space="preserve"> </w:t>
      </w:r>
      <w:r w:rsidRPr="006A1291">
        <w:rPr>
          <w:rFonts w:asciiTheme="majorBidi" w:hAnsiTheme="majorBidi" w:cstheme="majorBidi"/>
          <w:sz w:val="24"/>
          <w:szCs w:val="24"/>
        </w:rPr>
        <w:fldChar w:fldCharType="begin"/>
      </w:r>
      <w:r w:rsidR="005A5AF5">
        <w:rPr>
          <w:rFonts w:asciiTheme="majorBidi" w:hAnsiTheme="majorBidi" w:cstheme="majorBidi"/>
          <w:sz w:val="24"/>
          <w:szCs w:val="24"/>
        </w:rPr>
        <w:instrText xml:space="preserve"> ADDIN EN.CITE &lt;EndNote&gt;&lt;Cite&gt;&lt;Author&gt;Tafish&lt;/Author&gt;&lt;Year&gt;2023&lt;/Year&gt;&lt;RecNum&gt;145&lt;/RecNum&gt;&lt;DisplayText&gt;(2)&lt;/DisplayText&gt;&lt;record&gt;&lt;rec-number&gt;145&lt;/rec-number&gt;&lt;foreign-keys&gt;&lt;key app="EN" db-id="v5w9adr0920v2ie2v025p05nrwvt5eaextfd" timestamp="1711565024"&gt;145&lt;/key&gt;&lt;/foreign-keys&gt;&lt;ref-type name="Journal Article"&gt;17&lt;/ref-type&gt;&lt;contributors&gt;&lt;authors&gt;&lt;author&gt;Tafish, Ahmed Mowafy&lt;/author&gt;&lt;author&gt;El-Sherbiny, Mohamed&lt;/author&gt;&lt;author&gt;Al‐Karmalawy, Ahmed A.&lt;/author&gt;&lt;author&gt;Soliman, Osama Abd El-Azeem&lt;/author&gt;&lt;author&gt;Saleh, Noha Mohamed&lt;/author&gt;&lt;/authors&gt;&lt;/contributors&gt;&lt;titles&gt;&lt;title&gt;Carvacrol-Loaded Phytosomes for Enhanced Wound Healing: Molecular Docking, Formulation, DoE-Aided Optimization, and in vitro/in vivo Evaluation&lt;/title&gt;&lt;secondary-title&gt;International Journal of Nanomedicine&lt;/secondary-title&gt;&lt;/titles&gt;&lt;periodical&gt;&lt;full-title&gt;International Journal of Nanomedicine&lt;/full-title&gt;&lt;/periodical&gt;&lt;pages&gt;5749-5780&lt;/pages&gt;&lt;volume&gt;Volume 18&lt;/volume&gt;&lt;dates&gt;&lt;year&gt;2023&lt;/year&gt;&lt;/dates&gt;&lt;isbn&gt;1178-2013&lt;/isbn&gt;&lt;urls&gt;&lt;/urls&gt;&lt;electronic-resource-num&gt;10.2147/ijn.s421617&lt;/electronic-resource-num&gt;&lt;/record&gt;&lt;/Cite&gt;&lt;/EndNote&gt;</w:instrText>
      </w:r>
      <w:r w:rsidRPr="006A1291">
        <w:rPr>
          <w:rFonts w:asciiTheme="majorBidi" w:hAnsiTheme="majorBidi" w:cstheme="majorBidi"/>
          <w:sz w:val="24"/>
          <w:szCs w:val="24"/>
        </w:rPr>
        <w:fldChar w:fldCharType="separate"/>
      </w:r>
      <w:r w:rsidR="005A5AF5">
        <w:rPr>
          <w:rFonts w:asciiTheme="majorBidi" w:hAnsiTheme="majorBidi" w:cstheme="majorBidi"/>
          <w:noProof/>
          <w:sz w:val="24"/>
          <w:szCs w:val="24"/>
        </w:rPr>
        <w:t>(2)</w:t>
      </w:r>
      <w:r w:rsidRPr="006A1291">
        <w:rPr>
          <w:rFonts w:asciiTheme="majorBidi" w:hAnsiTheme="majorBidi" w:cstheme="majorBidi"/>
          <w:sz w:val="24"/>
          <w:szCs w:val="24"/>
        </w:rPr>
        <w:fldChar w:fldCharType="end"/>
      </w:r>
      <w:r w:rsidR="00196364">
        <w:rPr>
          <w:rFonts w:asciiTheme="majorBidi" w:hAnsiTheme="majorBidi" w:cstheme="majorBidi"/>
          <w:sz w:val="24"/>
          <w:szCs w:val="24"/>
        </w:rPr>
        <w:t>.</w:t>
      </w:r>
      <w:r w:rsidRPr="007734D1">
        <w:rPr>
          <w:rFonts w:asciiTheme="majorBidi" w:hAnsiTheme="majorBidi" w:cstheme="majorBidi"/>
        </w:rPr>
        <w:t xml:space="preserve"> </w:t>
      </w:r>
      <w:r w:rsidRPr="007734D1">
        <w:rPr>
          <w:rFonts w:asciiTheme="majorBidi" w:hAnsiTheme="majorBidi" w:cstheme="majorBidi"/>
          <w:sz w:val="24"/>
          <w:szCs w:val="24"/>
        </w:rPr>
        <w:t xml:space="preserve">This could be explained by the fact that </w:t>
      </w:r>
      <w:proofErr w:type="spellStart"/>
      <w:r w:rsidRPr="007734D1">
        <w:rPr>
          <w:rFonts w:asciiTheme="majorBidi" w:hAnsiTheme="majorBidi" w:cstheme="majorBidi"/>
          <w:sz w:val="24"/>
          <w:szCs w:val="24"/>
        </w:rPr>
        <w:t>nanosystems</w:t>
      </w:r>
      <w:proofErr w:type="spellEnd"/>
      <w:r w:rsidRPr="007734D1">
        <w:rPr>
          <w:rFonts w:asciiTheme="majorBidi" w:hAnsiTheme="majorBidi" w:cstheme="majorBidi"/>
          <w:sz w:val="24"/>
          <w:szCs w:val="24"/>
        </w:rPr>
        <w:t xml:space="preserve"> should have a surface charge of about ± 25 mV to keep their colloidal stability</w:t>
      </w:r>
      <w:r>
        <w:rPr>
          <w:rFonts w:asciiTheme="majorBidi" w:hAnsiTheme="majorBidi" w:cstheme="majorBidi"/>
          <w:sz w:val="24"/>
          <w:szCs w:val="24"/>
        </w:rPr>
        <w:t>.</w:t>
      </w:r>
      <w:r w:rsidRPr="007734D1">
        <w:rPr>
          <w:rFonts w:asciiTheme="majorBidi" w:hAnsiTheme="majorBidi" w:cstheme="majorBidi"/>
          <w:sz w:val="24"/>
          <w:szCs w:val="24"/>
        </w:rPr>
        <w:t xml:space="preserve"> The selected formulation P1 remained stable for 4 months because it maintained its zeta potential value within the acceptable negative range. This resulted in a strong repulsion force between the vesicles preventing them from aggregating and, as a result, giving P1 a high stability</w:t>
      </w:r>
      <w:r w:rsidR="00196364">
        <w:rPr>
          <w:rFonts w:asciiTheme="majorBidi" w:hAnsiTheme="majorBidi" w:cstheme="majorBidi"/>
          <w:sz w:val="24"/>
          <w:szCs w:val="24"/>
        </w:rPr>
        <w:t xml:space="preserve"> </w:t>
      </w:r>
      <w:r w:rsidRPr="006A1291">
        <w:rPr>
          <w:rFonts w:asciiTheme="majorBidi" w:hAnsiTheme="majorBidi" w:cstheme="majorBidi"/>
          <w:sz w:val="24"/>
          <w:szCs w:val="24"/>
        </w:rPr>
        <w:fldChar w:fldCharType="begin"/>
      </w:r>
      <w:r w:rsidR="005A5AF5">
        <w:rPr>
          <w:rFonts w:asciiTheme="majorBidi" w:hAnsiTheme="majorBidi" w:cstheme="majorBidi"/>
          <w:sz w:val="24"/>
          <w:szCs w:val="24"/>
        </w:rPr>
        <w:instrText xml:space="preserve"> ADDIN EN.CITE &lt;EndNote&gt;&lt;Cite&gt;&lt;Author&gt;El-Menshawe&lt;/Author&gt;&lt;Year&gt;2018&lt;/Year&gt;&lt;RecNum&gt;146&lt;/RecNum&gt;&lt;DisplayText&gt;(3, 4)&lt;/DisplayText&gt;&lt;record&gt;&lt;rec-number&gt;146&lt;/rec-number&gt;&lt;foreign-keys&gt;&lt;key app="EN" db-id="v5w9adr0920v2ie2v025p05nrwvt5eaextfd" timestamp="1711565024"&gt;146&lt;/key&gt;&lt;/foreign-keys&gt;&lt;ref-type name="Journal Article"&gt;17&lt;/ref-type&gt;&lt;contributors&gt;&lt;authors&gt;&lt;author&gt;El-Menshawe, Shahira&lt;/author&gt;&lt;author&gt;Ali, Adel&lt;/author&gt;&lt;author&gt;Rabeh, Mohammed&lt;/author&gt;&lt;author&gt;Khalil, Nermeen&lt;/author&gt;&lt;/authors&gt;&lt;/contributors&gt;&lt;titles&gt;&lt;title&gt;Nanosized soy phytosome-based thermogel as topical anti-obesity formulation: an approach for acceptable level of evidence of an effective novel herbal weight loss product&lt;/title&gt;&lt;secondary-title&gt;International Journal of Nanomedicine&lt;/secondary-title&gt;&lt;/titles&gt;&lt;periodical&gt;&lt;full-title&gt;International Journal of Nanomedicine&lt;/full-title&gt;&lt;/periodical&gt;&lt;pages&gt;307-318&lt;/pages&gt;&lt;volume&gt;Volume 13&lt;/volume&gt;&lt;dates&gt;&lt;year&gt;2018&lt;/year&gt;&lt;/dates&gt;&lt;isbn&gt;1178-2013&lt;/isbn&gt;&lt;urls&gt;&lt;/urls&gt;&lt;electronic-resource-num&gt;10.2147/ijn.s153429&lt;/electronic-resource-num&gt;&lt;/record&gt;&lt;/Cite&gt;&lt;Cite&gt;&lt;Author&gt;Peanparkdee&lt;/Author&gt;&lt;Year&gt;2023&lt;/Year&gt;&lt;RecNum&gt;147&lt;/RecNum&gt;&lt;record&gt;&lt;rec-number&gt;147&lt;/rec-number&gt;&lt;foreign-keys&gt;&lt;key app="EN" db-id="v5w9adr0920v2ie2v025p05nrwvt5eaextfd" timestamp="1711565024"&gt;147&lt;/key&gt;&lt;/foreign-keys&gt;&lt;ref-type name="Journal Article"&gt;17&lt;/ref-type&gt;&lt;contributors&gt;&lt;authors&gt;&lt;author&gt;Peanparkdee, Methavee&lt;/author&gt;&lt;author&gt;Yooying, Ratchadaporn&lt;/author&gt;&lt;/authors&gt;&lt;/contributors&gt;&lt;titles&gt;&lt;title&gt;Enhancement of solubility, thermal stability and bioaccessibility of vitexin using phosphatidylcholine-based phytosome&lt;/title&gt;&lt;secondary-title&gt;NFS Journal&lt;/secondary-title&gt;&lt;/titles&gt;&lt;periodical&gt;&lt;full-title&gt;NFS Journal&lt;/full-title&gt;&lt;/periodical&gt;&lt;pages&gt;28-38&lt;/pages&gt;&lt;volume&gt;31&lt;/volume&gt;&lt;dates&gt;&lt;year&gt;2023&lt;/year&gt;&lt;/dates&gt;&lt;isbn&gt;23523646&lt;/isbn&gt;&lt;urls&gt;&lt;/urls&gt;&lt;electronic-resource-num&gt;10.1016/j.nfs.2023.03.001&lt;/electronic-resource-num&gt;&lt;/record&gt;&lt;/Cite&gt;&lt;/EndNote&gt;</w:instrText>
      </w:r>
      <w:r w:rsidRPr="006A1291">
        <w:rPr>
          <w:rFonts w:asciiTheme="majorBidi" w:hAnsiTheme="majorBidi" w:cstheme="majorBidi"/>
          <w:sz w:val="24"/>
          <w:szCs w:val="24"/>
        </w:rPr>
        <w:fldChar w:fldCharType="separate"/>
      </w:r>
      <w:r w:rsidR="005A5AF5">
        <w:rPr>
          <w:rFonts w:asciiTheme="majorBidi" w:hAnsiTheme="majorBidi" w:cstheme="majorBidi"/>
          <w:noProof/>
          <w:sz w:val="24"/>
          <w:szCs w:val="24"/>
        </w:rPr>
        <w:t>(3, 4)</w:t>
      </w:r>
      <w:r w:rsidRPr="006A1291">
        <w:rPr>
          <w:rFonts w:asciiTheme="majorBidi" w:hAnsiTheme="majorBidi" w:cstheme="majorBidi"/>
          <w:sz w:val="24"/>
          <w:szCs w:val="24"/>
        </w:rPr>
        <w:fldChar w:fldCharType="end"/>
      </w:r>
      <w:r w:rsidR="00196364">
        <w:rPr>
          <w:rFonts w:asciiTheme="majorBidi" w:hAnsiTheme="majorBidi" w:cstheme="majorBidi"/>
          <w:sz w:val="24"/>
          <w:szCs w:val="24"/>
        </w:rPr>
        <w:t>.</w:t>
      </w:r>
      <w:r w:rsidRPr="007734D1">
        <w:rPr>
          <w:rFonts w:asciiTheme="majorBidi" w:hAnsiTheme="majorBidi" w:cstheme="majorBidi"/>
          <w:sz w:val="24"/>
          <w:szCs w:val="24"/>
        </w:rPr>
        <w:t xml:space="preserve">  </w:t>
      </w:r>
    </w:p>
    <w:p w14:paraId="5C6126AB" w14:textId="302B30B9" w:rsidR="00F41115" w:rsidRDefault="00F41115" w:rsidP="00675BDC">
      <w:pPr>
        <w:spacing w:line="480" w:lineRule="auto"/>
        <w:jc w:val="both"/>
        <w:rPr>
          <w:rFonts w:asciiTheme="majorBidi" w:hAnsiTheme="majorBidi" w:cstheme="majorBidi"/>
          <w:b/>
          <w:bCs/>
          <w:sz w:val="28"/>
          <w:szCs w:val="28"/>
        </w:rPr>
      </w:pPr>
    </w:p>
    <w:p w14:paraId="03F9073F" w14:textId="40013631" w:rsidR="0035579F" w:rsidRDefault="0035579F" w:rsidP="00675BDC">
      <w:pPr>
        <w:spacing w:line="480" w:lineRule="auto"/>
        <w:jc w:val="both"/>
        <w:rPr>
          <w:rFonts w:asciiTheme="majorBidi" w:hAnsiTheme="majorBidi" w:cstheme="majorBidi"/>
          <w:b/>
          <w:bCs/>
          <w:sz w:val="28"/>
          <w:szCs w:val="28"/>
        </w:rPr>
      </w:pPr>
    </w:p>
    <w:p w14:paraId="5DA739E0" w14:textId="77777777" w:rsidR="0035579F" w:rsidRDefault="0035579F" w:rsidP="0035579F">
      <w:pPr>
        <w:spacing w:line="480" w:lineRule="auto"/>
        <w:jc w:val="both"/>
        <w:rPr>
          <w:rFonts w:asciiTheme="majorBidi" w:hAnsiTheme="majorBidi" w:cstheme="majorBidi"/>
          <w:b/>
          <w:bCs/>
          <w:color w:val="231F20"/>
          <w:sz w:val="28"/>
          <w:szCs w:val="28"/>
        </w:rPr>
      </w:pPr>
      <w:r w:rsidRPr="00351C29">
        <w:rPr>
          <w:rFonts w:asciiTheme="majorBidi" w:hAnsiTheme="majorBidi" w:cstheme="majorBidi"/>
          <w:b/>
          <w:bCs/>
          <w:color w:val="231F20"/>
          <w:sz w:val="28"/>
          <w:szCs w:val="28"/>
        </w:rPr>
        <w:t>Supplementary file references</w:t>
      </w:r>
    </w:p>
    <w:p w14:paraId="73641D10" w14:textId="77777777" w:rsidR="0035579F" w:rsidRDefault="0035579F" w:rsidP="0035579F">
      <w:pPr>
        <w:spacing w:line="480" w:lineRule="auto"/>
        <w:jc w:val="both"/>
        <w:rPr>
          <w:rFonts w:asciiTheme="majorBidi" w:hAnsiTheme="majorBidi" w:cstheme="majorBidi"/>
          <w:b/>
          <w:bCs/>
          <w:sz w:val="28"/>
          <w:szCs w:val="28"/>
        </w:rPr>
      </w:pPr>
    </w:p>
    <w:p w14:paraId="30550C3D" w14:textId="77777777" w:rsidR="00196364" w:rsidRPr="00196364" w:rsidRDefault="0035579F" w:rsidP="00196364">
      <w:pPr>
        <w:pStyle w:val="EndNoteBibliography"/>
        <w:spacing w:after="0"/>
      </w:pPr>
      <w:r>
        <w:rPr>
          <w:rFonts w:asciiTheme="majorBidi" w:hAnsiTheme="majorBidi" w:cstheme="majorBidi"/>
          <w:b/>
          <w:bCs/>
          <w:sz w:val="28"/>
          <w:szCs w:val="28"/>
        </w:rPr>
        <w:fldChar w:fldCharType="begin"/>
      </w:r>
      <w:r>
        <w:rPr>
          <w:rFonts w:asciiTheme="majorBidi" w:hAnsiTheme="majorBidi" w:cstheme="majorBidi"/>
          <w:b/>
          <w:bCs/>
          <w:sz w:val="28"/>
          <w:szCs w:val="28"/>
        </w:rPr>
        <w:instrText xml:space="preserve"> ADDIN EN.REFLIST </w:instrText>
      </w:r>
      <w:r>
        <w:rPr>
          <w:rFonts w:asciiTheme="majorBidi" w:hAnsiTheme="majorBidi" w:cstheme="majorBidi"/>
          <w:b/>
          <w:bCs/>
          <w:sz w:val="28"/>
          <w:szCs w:val="28"/>
        </w:rPr>
        <w:fldChar w:fldCharType="separate"/>
      </w:r>
      <w:r w:rsidR="00196364" w:rsidRPr="00196364">
        <w:t>1.</w:t>
      </w:r>
      <w:r w:rsidR="00196364" w:rsidRPr="00196364">
        <w:tab/>
        <w:t>Zhang J, Tang Q, Xu X, Li N. Development and evaluation of a novel phytosome-loaded chitosan microsphere system for curcumin delivery. International Journal of Pharmaceutics. 2013;448(1):168-74.</w:t>
      </w:r>
    </w:p>
    <w:p w14:paraId="49A9DB08" w14:textId="77777777" w:rsidR="00196364" w:rsidRPr="00196364" w:rsidRDefault="00196364" w:rsidP="00196364">
      <w:pPr>
        <w:pStyle w:val="EndNoteBibliography"/>
        <w:spacing w:after="0"/>
      </w:pPr>
      <w:r w:rsidRPr="00196364">
        <w:t>2.</w:t>
      </w:r>
      <w:r w:rsidRPr="00196364">
        <w:tab/>
        <w:t>Tafish AM, El-Sherbiny M, Al‐Karmalawy AA, Soliman OAE-A, Saleh NM. Carvacrol-Loaded Phytosomes for Enhanced Wound Healing: Molecular Docking, Formulation, DoE-Aided Optimization, and in vitro/in vivo Evaluation. International Journal of Nanomedicine. 2023;Volume 18:5749-80.</w:t>
      </w:r>
    </w:p>
    <w:p w14:paraId="15E510A9" w14:textId="77777777" w:rsidR="00196364" w:rsidRPr="00196364" w:rsidRDefault="00196364" w:rsidP="00196364">
      <w:pPr>
        <w:pStyle w:val="EndNoteBibliography"/>
        <w:spacing w:after="0"/>
      </w:pPr>
      <w:r w:rsidRPr="00196364">
        <w:t>3.</w:t>
      </w:r>
      <w:r w:rsidRPr="00196364">
        <w:tab/>
        <w:t>El-Menshawe S, Ali A, Rabeh M, Khalil N. Nanosized soy phytosome-based thermogel as topical anti-obesity formulation: an approach for acceptable level of evidence of an effective novel herbal weight loss product. International Journal of Nanomedicine. 2018;Volume 13:307-18.</w:t>
      </w:r>
    </w:p>
    <w:p w14:paraId="393116FC" w14:textId="77777777" w:rsidR="00196364" w:rsidRPr="00196364" w:rsidRDefault="00196364" w:rsidP="00196364">
      <w:pPr>
        <w:pStyle w:val="EndNoteBibliography"/>
      </w:pPr>
      <w:r w:rsidRPr="00196364">
        <w:t>4.</w:t>
      </w:r>
      <w:r w:rsidRPr="00196364">
        <w:tab/>
        <w:t>Peanparkdee M, Yooying R. Enhancement of solubility, thermal stability and bioaccessibility of vitexin using phosphatidylcholine-based phytosome. NFS Journal. 2023;31:28-38.</w:t>
      </w:r>
    </w:p>
    <w:p w14:paraId="24529206" w14:textId="5B5DD13E" w:rsidR="0035579F" w:rsidRDefault="0035579F" w:rsidP="0019636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fldChar w:fldCharType="end"/>
      </w:r>
    </w:p>
    <w:p w14:paraId="5E372102" w14:textId="77777777" w:rsidR="0035579F" w:rsidRDefault="0035579F" w:rsidP="0035579F">
      <w:pPr>
        <w:spacing w:line="480" w:lineRule="auto"/>
        <w:jc w:val="both"/>
        <w:rPr>
          <w:rFonts w:asciiTheme="majorBidi" w:hAnsiTheme="majorBidi" w:cstheme="majorBidi"/>
          <w:b/>
          <w:bCs/>
          <w:sz w:val="28"/>
          <w:szCs w:val="28"/>
        </w:rPr>
      </w:pPr>
    </w:p>
    <w:p w14:paraId="220FD79B" w14:textId="77777777" w:rsidR="005612B7" w:rsidRDefault="005612B7" w:rsidP="0035579F">
      <w:pPr>
        <w:spacing w:line="480" w:lineRule="auto"/>
        <w:jc w:val="both"/>
        <w:rPr>
          <w:rFonts w:asciiTheme="majorBidi" w:hAnsiTheme="majorBidi" w:cstheme="majorBidi"/>
          <w:b/>
          <w:bCs/>
          <w:sz w:val="28"/>
          <w:szCs w:val="28"/>
        </w:rPr>
      </w:pPr>
    </w:p>
    <w:p w14:paraId="25EFB46D" w14:textId="77777777" w:rsidR="005612B7" w:rsidRDefault="005612B7" w:rsidP="0035579F">
      <w:pPr>
        <w:spacing w:line="480" w:lineRule="auto"/>
        <w:jc w:val="both"/>
        <w:rPr>
          <w:rFonts w:asciiTheme="majorBidi" w:hAnsiTheme="majorBidi" w:cstheme="majorBidi"/>
          <w:b/>
          <w:bCs/>
          <w:sz w:val="28"/>
          <w:szCs w:val="28"/>
        </w:rPr>
      </w:pPr>
    </w:p>
    <w:p w14:paraId="0988BC29" w14:textId="54CF0B42" w:rsidR="0035579F" w:rsidRDefault="0035579F" w:rsidP="0035579F">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Figure, figure legend, and table</w:t>
      </w:r>
    </w:p>
    <w:p w14:paraId="32CDCE53" w14:textId="77777777" w:rsidR="0035579F" w:rsidRDefault="0035579F" w:rsidP="0035579F">
      <w:pPr>
        <w:spacing w:line="480" w:lineRule="auto"/>
        <w:jc w:val="both"/>
        <w:rPr>
          <w:rFonts w:asciiTheme="majorBidi" w:hAnsiTheme="majorBidi" w:cstheme="majorBidi"/>
          <w:b/>
          <w:bCs/>
          <w:sz w:val="28"/>
          <w:szCs w:val="28"/>
        </w:rPr>
      </w:pPr>
    </w:p>
    <w:p w14:paraId="6F2EF7CA" w14:textId="63169FDB" w:rsidR="00272B32" w:rsidRPr="00F41115" w:rsidRDefault="00196364" w:rsidP="00675BDC">
      <w:pPr>
        <w:spacing w:line="480" w:lineRule="auto"/>
        <w:jc w:val="both"/>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14:anchorId="75FF8626" wp14:editId="6E7993FB">
            <wp:extent cx="5943600" cy="46215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621530"/>
                    </a:xfrm>
                    <a:prstGeom prst="rect">
                      <a:avLst/>
                    </a:prstGeom>
                  </pic:spPr>
                </pic:pic>
              </a:graphicData>
            </a:graphic>
          </wp:inline>
        </w:drawing>
      </w:r>
    </w:p>
    <w:p w14:paraId="10575A9B" w14:textId="77777777" w:rsidR="00272B32" w:rsidRPr="00452BCD" w:rsidRDefault="00272B32" w:rsidP="00272B32">
      <w:pPr>
        <w:spacing w:line="480" w:lineRule="auto"/>
        <w:jc w:val="both"/>
        <w:rPr>
          <w:rFonts w:asciiTheme="majorBidi" w:hAnsiTheme="majorBidi" w:cstheme="majorBidi"/>
          <w:sz w:val="24"/>
          <w:szCs w:val="24"/>
        </w:rPr>
      </w:pPr>
    </w:p>
    <w:p w14:paraId="023BAA34" w14:textId="21AB2F61" w:rsidR="00272B32" w:rsidRPr="0035579F" w:rsidRDefault="0035579F" w:rsidP="0035579F">
      <w:pPr>
        <w:spacing w:line="480" w:lineRule="auto"/>
        <w:jc w:val="both"/>
        <w:rPr>
          <w:rFonts w:asciiTheme="majorBidi" w:hAnsiTheme="majorBidi" w:cstheme="majorBidi"/>
          <w:color w:val="231F20"/>
          <w:sz w:val="24"/>
          <w:szCs w:val="24"/>
        </w:rPr>
      </w:pPr>
      <w:r>
        <w:rPr>
          <w:rStyle w:val="Strong"/>
          <w:rFonts w:asciiTheme="majorBidi" w:hAnsiTheme="majorBidi" w:cstheme="majorBidi"/>
          <w:color w:val="0E101A"/>
          <w:sz w:val="24"/>
          <w:szCs w:val="24"/>
        </w:rPr>
        <w:t xml:space="preserve">Supplementary </w:t>
      </w:r>
      <w:r w:rsidRPr="005058F1">
        <w:rPr>
          <w:rStyle w:val="Strong"/>
          <w:rFonts w:asciiTheme="majorBidi" w:hAnsiTheme="majorBidi" w:cstheme="majorBidi"/>
          <w:color w:val="0E101A"/>
          <w:sz w:val="24"/>
          <w:szCs w:val="24"/>
        </w:rPr>
        <w:t xml:space="preserve">Figure </w:t>
      </w:r>
      <w:r>
        <w:rPr>
          <w:rStyle w:val="Strong"/>
          <w:rFonts w:asciiTheme="majorBidi" w:hAnsiTheme="majorBidi" w:cstheme="majorBidi"/>
          <w:color w:val="0E101A"/>
          <w:sz w:val="24"/>
          <w:szCs w:val="24"/>
        </w:rPr>
        <w:t>1</w:t>
      </w:r>
      <w:r w:rsidRPr="005058F1">
        <w:rPr>
          <w:rStyle w:val="Strong"/>
          <w:rFonts w:asciiTheme="majorBidi" w:hAnsiTheme="majorBidi" w:cstheme="majorBidi"/>
          <w:color w:val="0E101A"/>
          <w:sz w:val="24"/>
          <w:szCs w:val="24"/>
        </w:rPr>
        <w:t>.</w:t>
      </w:r>
      <w:r>
        <w:rPr>
          <w:rFonts w:asciiTheme="majorBidi" w:hAnsiTheme="majorBidi" w:cstheme="majorBidi"/>
          <w:color w:val="231F20"/>
          <w:sz w:val="24"/>
          <w:szCs w:val="24"/>
        </w:rPr>
        <w:t xml:space="preserve"> </w:t>
      </w:r>
      <w:r w:rsidR="00272B32" w:rsidRPr="00452BCD">
        <w:rPr>
          <w:rStyle w:val="Strong"/>
          <w:rFonts w:asciiTheme="majorBidi" w:hAnsiTheme="majorBidi" w:cstheme="majorBidi"/>
          <w:sz w:val="24"/>
          <w:szCs w:val="24"/>
        </w:rPr>
        <w:t xml:space="preserve">The dose-response curve of </w:t>
      </w:r>
      <w:r w:rsidR="00272B32">
        <w:rPr>
          <w:rStyle w:val="Strong"/>
          <w:rFonts w:asciiTheme="majorBidi" w:hAnsiTheme="majorBidi" w:cstheme="majorBidi"/>
          <w:sz w:val="24"/>
          <w:szCs w:val="24"/>
        </w:rPr>
        <w:t>THC-</w:t>
      </w:r>
      <w:proofErr w:type="spellStart"/>
      <w:r w:rsidR="00272B32">
        <w:rPr>
          <w:rStyle w:val="Strong"/>
          <w:rFonts w:asciiTheme="majorBidi" w:hAnsiTheme="majorBidi" w:cstheme="majorBidi"/>
          <w:sz w:val="24"/>
          <w:szCs w:val="24"/>
        </w:rPr>
        <w:t>phytosomes</w:t>
      </w:r>
      <w:proofErr w:type="spellEnd"/>
      <w:r w:rsidR="00272B32" w:rsidRPr="00452BCD">
        <w:rPr>
          <w:rStyle w:val="Strong"/>
          <w:rFonts w:asciiTheme="majorBidi" w:hAnsiTheme="majorBidi" w:cstheme="majorBidi"/>
          <w:sz w:val="24"/>
          <w:szCs w:val="24"/>
        </w:rPr>
        <w:t xml:space="preserve"> cytotoxicity on </w:t>
      </w:r>
      <w:r w:rsidR="00272B32">
        <w:rPr>
          <w:rStyle w:val="Strong"/>
          <w:rFonts w:asciiTheme="majorBidi" w:hAnsiTheme="majorBidi" w:cstheme="majorBidi"/>
          <w:sz w:val="24"/>
          <w:szCs w:val="24"/>
        </w:rPr>
        <w:t>gingival fibroblasts.</w:t>
      </w:r>
      <w:r w:rsidR="00272B32" w:rsidRPr="00452BCD">
        <w:rPr>
          <w:rStyle w:val="Strong"/>
          <w:rFonts w:asciiTheme="majorBidi" w:hAnsiTheme="majorBidi" w:cstheme="majorBidi"/>
          <w:sz w:val="24"/>
          <w:szCs w:val="24"/>
        </w:rPr>
        <w:t xml:space="preserve"> </w:t>
      </w:r>
      <w:r w:rsidR="00272B32" w:rsidRPr="00452BCD">
        <w:rPr>
          <w:rFonts w:asciiTheme="majorBidi" w:hAnsiTheme="majorBidi" w:cstheme="majorBidi"/>
          <w:sz w:val="24"/>
          <w:szCs w:val="24"/>
        </w:rPr>
        <w:t xml:space="preserve">The effect of the three drugs on </w:t>
      </w:r>
      <w:r w:rsidR="00272B32">
        <w:rPr>
          <w:rFonts w:asciiTheme="majorBidi" w:hAnsiTheme="majorBidi" w:cstheme="majorBidi"/>
          <w:sz w:val="24"/>
          <w:szCs w:val="24"/>
        </w:rPr>
        <w:t>gingival fibroblasts</w:t>
      </w:r>
      <w:r w:rsidR="00272B32" w:rsidRPr="00452BCD">
        <w:rPr>
          <w:rFonts w:asciiTheme="majorBidi" w:hAnsiTheme="majorBidi" w:cstheme="majorBidi"/>
          <w:sz w:val="24"/>
          <w:szCs w:val="24"/>
        </w:rPr>
        <w:t xml:space="preserve"> shows an equivalent dose and time-dependent response, with </w:t>
      </w:r>
      <w:r w:rsidR="00272B32">
        <w:rPr>
          <w:rFonts w:asciiTheme="majorBidi" w:hAnsiTheme="majorBidi" w:cstheme="majorBidi"/>
          <w:sz w:val="24"/>
          <w:szCs w:val="24"/>
        </w:rPr>
        <w:t>THC-</w:t>
      </w:r>
      <w:proofErr w:type="spellStart"/>
      <w:r w:rsidR="00272B32" w:rsidRPr="00452BCD">
        <w:rPr>
          <w:rFonts w:asciiTheme="majorBidi" w:hAnsiTheme="majorBidi" w:cstheme="majorBidi"/>
          <w:sz w:val="24"/>
          <w:szCs w:val="24"/>
        </w:rPr>
        <w:t>phytosomes</w:t>
      </w:r>
      <w:proofErr w:type="spellEnd"/>
      <w:r w:rsidR="00272B32" w:rsidRPr="00452BCD">
        <w:rPr>
          <w:rFonts w:asciiTheme="majorBidi" w:hAnsiTheme="majorBidi" w:cstheme="majorBidi"/>
          <w:sz w:val="24"/>
          <w:szCs w:val="24"/>
        </w:rPr>
        <w:t xml:space="preserve"> having the highest calculated selectivity indices to oral cancer cells </w:t>
      </w:r>
      <w:r w:rsidR="00272B32">
        <w:rPr>
          <w:rFonts w:asciiTheme="majorBidi" w:hAnsiTheme="majorBidi" w:cstheme="majorBidi"/>
          <w:sz w:val="24"/>
          <w:szCs w:val="24"/>
        </w:rPr>
        <w:t>after</w:t>
      </w:r>
      <w:r w:rsidR="00272B32" w:rsidRPr="00452BCD">
        <w:rPr>
          <w:rFonts w:asciiTheme="majorBidi" w:hAnsiTheme="majorBidi" w:cstheme="majorBidi"/>
          <w:sz w:val="24"/>
          <w:szCs w:val="24"/>
        </w:rPr>
        <w:t xml:space="preserve"> 48 h</w:t>
      </w:r>
      <w:r w:rsidR="00272B32">
        <w:rPr>
          <w:rFonts w:asciiTheme="majorBidi" w:hAnsiTheme="majorBidi" w:cstheme="majorBidi"/>
          <w:sz w:val="24"/>
          <w:szCs w:val="24"/>
        </w:rPr>
        <w:t xml:space="preserve"> of treatment</w:t>
      </w:r>
      <w:r w:rsidR="00272B32" w:rsidRPr="00452BCD">
        <w:rPr>
          <w:rFonts w:asciiTheme="majorBidi" w:hAnsiTheme="majorBidi" w:cstheme="majorBidi"/>
          <w:sz w:val="24"/>
          <w:szCs w:val="24"/>
        </w:rPr>
        <w:t>. The bar charts are the mean ± SD of viability % from three independent experiments, each of triplicates in 96-well plates. </w:t>
      </w:r>
    </w:p>
    <w:p w14:paraId="6E873069" w14:textId="53593171" w:rsidR="00F41115" w:rsidRPr="00F41115" w:rsidRDefault="00F41115" w:rsidP="00675BDC">
      <w:pPr>
        <w:spacing w:line="480" w:lineRule="auto"/>
        <w:jc w:val="both"/>
        <w:rPr>
          <w:rFonts w:asciiTheme="majorBidi" w:hAnsiTheme="majorBidi" w:cstheme="majorBidi"/>
          <w:b/>
          <w:bCs/>
          <w:sz w:val="28"/>
          <w:szCs w:val="28"/>
        </w:rPr>
      </w:pPr>
    </w:p>
    <w:p w14:paraId="1FCA9B49" w14:textId="64C18B08" w:rsidR="00F41115" w:rsidRDefault="00F41115" w:rsidP="00675BDC">
      <w:pPr>
        <w:spacing w:line="480" w:lineRule="auto"/>
        <w:jc w:val="both"/>
        <w:rPr>
          <w:rFonts w:asciiTheme="majorBidi" w:hAnsiTheme="majorBidi" w:cstheme="majorBidi"/>
          <w:b/>
          <w:bCs/>
          <w:sz w:val="28"/>
          <w:szCs w:val="28"/>
        </w:rPr>
      </w:pPr>
    </w:p>
    <w:p w14:paraId="61715DCD" w14:textId="1C711DE5" w:rsidR="00F41115" w:rsidRPr="0035579F" w:rsidRDefault="00F41115" w:rsidP="0035579F">
      <w:pPr>
        <w:spacing w:line="480" w:lineRule="auto"/>
        <w:jc w:val="both"/>
        <w:rPr>
          <w:rFonts w:asciiTheme="majorBidi" w:hAnsiTheme="majorBidi" w:cstheme="majorBidi"/>
          <w:b/>
          <w:bCs/>
          <w:sz w:val="28"/>
          <w:szCs w:val="28"/>
        </w:rPr>
      </w:pPr>
      <w:r w:rsidRPr="00F41115">
        <w:rPr>
          <w:rFonts w:asciiTheme="majorBidi" w:hAnsiTheme="majorBidi" w:cstheme="majorBidi"/>
          <w:b/>
          <w:bCs/>
          <w:sz w:val="28"/>
          <w:szCs w:val="28"/>
        </w:rPr>
        <w:t>Table</w:t>
      </w:r>
    </w:p>
    <w:tbl>
      <w:tblPr>
        <w:tblStyle w:val="PlainTable1"/>
        <w:tblpPr w:leftFromText="180" w:rightFromText="180" w:vertAnchor="text" w:horzAnchor="margin" w:tblpY="1077"/>
        <w:tblW w:w="5000" w:type="pct"/>
        <w:tblLook w:val="04A0" w:firstRow="1" w:lastRow="0" w:firstColumn="1" w:lastColumn="0" w:noHBand="0" w:noVBand="1"/>
      </w:tblPr>
      <w:tblGrid>
        <w:gridCol w:w="1842"/>
        <w:gridCol w:w="2468"/>
        <w:gridCol w:w="2573"/>
        <w:gridCol w:w="2467"/>
      </w:tblGrid>
      <w:tr w:rsidR="00F41115" w:rsidRPr="009C5DE1" w14:paraId="156A9E39" w14:textId="77777777" w:rsidTr="00711140">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85" w:type="pct"/>
          </w:tcPr>
          <w:p w14:paraId="55286A26" w14:textId="77777777" w:rsidR="00F41115" w:rsidRPr="009C5DE1" w:rsidRDefault="00F41115" w:rsidP="00711140">
            <w:pPr>
              <w:tabs>
                <w:tab w:val="left" w:pos="3759"/>
              </w:tabs>
              <w:rPr>
                <w:rFonts w:asciiTheme="majorBidi" w:hAnsiTheme="majorBidi" w:cstheme="majorBidi"/>
                <w:sz w:val="20"/>
                <w:szCs w:val="20"/>
              </w:rPr>
            </w:pPr>
            <w:r w:rsidRPr="009C5DE1">
              <w:rPr>
                <w:rFonts w:asciiTheme="majorBidi" w:hAnsiTheme="majorBidi" w:cstheme="majorBidi"/>
                <w:sz w:val="20"/>
                <w:szCs w:val="20"/>
              </w:rPr>
              <w:t>Time (months)</w:t>
            </w:r>
          </w:p>
        </w:tc>
        <w:tc>
          <w:tcPr>
            <w:tcW w:w="1320" w:type="pct"/>
          </w:tcPr>
          <w:p w14:paraId="0A7D0422" w14:textId="77777777" w:rsidR="00F41115" w:rsidRPr="009C5DE1" w:rsidRDefault="00F41115" w:rsidP="00711140">
            <w:pPr>
              <w:tabs>
                <w:tab w:val="left" w:pos="3759"/>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Particle size (nm)</w:t>
            </w:r>
          </w:p>
        </w:tc>
        <w:tc>
          <w:tcPr>
            <w:tcW w:w="1376" w:type="pct"/>
          </w:tcPr>
          <w:p w14:paraId="79143509" w14:textId="77777777" w:rsidR="00F41115" w:rsidRPr="009C5DE1" w:rsidRDefault="00F41115" w:rsidP="00711140">
            <w:pPr>
              <w:tabs>
                <w:tab w:val="left" w:pos="3759"/>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Polydispersity index</w:t>
            </w:r>
          </w:p>
        </w:tc>
        <w:tc>
          <w:tcPr>
            <w:tcW w:w="1319" w:type="pct"/>
          </w:tcPr>
          <w:p w14:paraId="17438C50" w14:textId="77777777" w:rsidR="00F41115" w:rsidRPr="009C5DE1" w:rsidRDefault="00F41115" w:rsidP="00711140">
            <w:pPr>
              <w:tabs>
                <w:tab w:val="left" w:pos="3759"/>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Zeta potential (mV)</w:t>
            </w:r>
          </w:p>
        </w:tc>
      </w:tr>
      <w:tr w:rsidR="00F41115" w:rsidRPr="009C5DE1" w14:paraId="3E4716AF" w14:textId="77777777" w:rsidTr="00711140">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85" w:type="pct"/>
          </w:tcPr>
          <w:p w14:paraId="3644BD49" w14:textId="77777777" w:rsidR="00F41115" w:rsidRPr="009C5DE1" w:rsidRDefault="00F41115" w:rsidP="00711140">
            <w:pPr>
              <w:tabs>
                <w:tab w:val="left" w:pos="3759"/>
              </w:tabs>
              <w:rPr>
                <w:rFonts w:asciiTheme="majorBidi" w:hAnsiTheme="majorBidi" w:cstheme="majorBidi"/>
                <w:sz w:val="20"/>
                <w:szCs w:val="20"/>
              </w:rPr>
            </w:pPr>
            <w:r w:rsidRPr="009C5DE1">
              <w:rPr>
                <w:rFonts w:asciiTheme="majorBidi" w:hAnsiTheme="majorBidi" w:cstheme="majorBidi"/>
                <w:sz w:val="20"/>
                <w:szCs w:val="20"/>
              </w:rPr>
              <w:t>Zero</w:t>
            </w:r>
          </w:p>
        </w:tc>
        <w:tc>
          <w:tcPr>
            <w:tcW w:w="1320" w:type="pct"/>
          </w:tcPr>
          <w:p w14:paraId="061E656D"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317.38 ± 5.48</w:t>
            </w:r>
          </w:p>
        </w:tc>
        <w:tc>
          <w:tcPr>
            <w:tcW w:w="1376" w:type="pct"/>
          </w:tcPr>
          <w:p w14:paraId="5725BA26"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0.285 ± 0.03</w:t>
            </w:r>
          </w:p>
        </w:tc>
        <w:tc>
          <w:tcPr>
            <w:tcW w:w="1319" w:type="pct"/>
          </w:tcPr>
          <w:p w14:paraId="5D631C72"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-29.88 ± 0.351</w:t>
            </w:r>
          </w:p>
        </w:tc>
      </w:tr>
      <w:tr w:rsidR="00F41115" w:rsidRPr="009C5DE1" w14:paraId="0403FAE4" w14:textId="77777777" w:rsidTr="00711140">
        <w:trPr>
          <w:trHeight w:val="448"/>
        </w:trPr>
        <w:tc>
          <w:tcPr>
            <w:cnfStyle w:val="001000000000" w:firstRow="0" w:lastRow="0" w:firstColumn="1" w:lastColumn="0" w:oddVBand="0" w:evenVBand="0" w:oddHBand="0" w:evenHBand="0" w:firstRowFirstColumn="0" w:firstRowLastColumn="0" w:lastRowFirstColumn="0" w:lastRowLastColumn="0"/>
            <w:tcW w:w="985" w:type="pct"/>
          </w:tcPr>
          <w:p w14:paraId="483E062C" w14:textId="77777777" w:rsidR="00F41115" w:rsidRPr="009C5DE1" w:rsidRDefault="00F41115" w:rsidP="00711140">
            <w:pPr>
              <w:tabs>
                <w:tab w:val="left" w:pos="3759"/>
              </w:tabs>
              <w:rPr>
                <w:rFonts w:asciiTheme="majorBidi" w:hAnsiTheme="majorBidi" w:cstheme="majorBidi"/>
                <w:sz w:val="20"/>
                <w:szCs w:val="20"/>
              </w:rPr>
            </w:pPr>
            <w:r w:rsidRPr="009C5DE1">
              <w:rPr>
                <w:rFonts w:asciiTheme="majorBidi" w:hAnsiTheme="majorBidi" w:cstheme="majorBidi"/>
                <w:sz w:val="20"/>
                <w:szCs w:val="20"/>
              </w:rPr>
              <w:t>1</w:t>
            </w:r>
          </w:p>
        </w:tc>
        <w:tc>
          <w:tcPr>
            <w:tcW w:w="1320" w:type="pct"/>
          </w:tcPr>
          <w:p w14:paraId="0E7FB495" w14:textId="77777777" w:rsidR="00F41115" w:rsidRPr="009C5DE1" w:rsidRDefault="00F41115" w:rsidP="00711140">
            <w:pPr>
              <w:tabs>
                <w:tab w:val="left" w:pos="3759"/>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320.38 ± 7.87</w:t>
            </w:r>
          </w:p>
        </w:tc>
        <w:tc>
          <w:tcPr>
            <w:tcW w:w="1376" w:type="pct"/>
          </w:tcPr>
          <w:p w14:paraId="543F6F80" w14:textId="77777777" w:rsidR="00F41115" w:rsidRPr="009C5DE1" w:rsidRDefault="00F41115" w:rsidP="00711140">
            <w:pPr>
              <w:tabs>
                <w:tab w:val="left" w:pos="3759"/>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0.425 ± 0.07</w:t>
            </w:r>
          </w:p>
        </w:tc>
        <w:tc>
          <w:tcPr>
            <w:tcW w:w="1319" w:type="pct"/>
          </w:tcPr>
          <w:p w14:paraId="20A56442" w14:textId="77777777" w:rsidR="00F41115" w:rsidRPr="009C5DE1" w:rsidRDefault="00F41115" w:rsidP="00711140">
            <w:pPr>
              <w:tabs>
                <w:tab w:val="left" w:pos="3759"/>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-28.35± 0.245</w:t>
            </w:r>
          </w:p>
        </w:tc>
      </w:tr>
      <w:tr w:rsidR="00F41115" w:rsidRPr="009C5DE1" w14:paraId="3507F61F" w14:textId="77777777" w:rsidTr="00711140">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85" w:type="pct"/>
          </w:tcPr>
          <w:p w14:paraId="27BCB82C" w14:textId="77777777" w:rsidR="00F41115" w:rsidRPr="009C5DE1" w:rsidRDefault="00F41115" w:rsidP="00711140">
            <w:pPr>
              <w:tabs>
                <w:tab w:val="left" w:pos="3759"/>
              </w:tabs>
              <w:rPr>
                <w:rFonts w:asciiTheme="majorBidi" w:hAnsiTheme="majorBidi" w:cstheme="majorBidi"/>
                <w:sz w:val="20"/>
                <w:szCs w:val="20"/>
              </w:rPr>
            </w:pPr>
            <w:r w:rsidRPr="009C5DE1">
              <w:rPr>
                <w:rFonts w:asciiTheme="majorBidi" w:hAnsiTheme="majorBidi" w:cstheme="majorBidi"/>
                <w:sz w:val="20"/>
                <w:szCs w:val="20"/>
              </w:rPr>
              <w:t>2</w:t>
            </w:r>
          </w:p>
        </w:tc>
        <w:tc>
          <w:tcPr>
            <w:tcW w:w="1320" w:type="pct"/>
          </w:tcPr>
          <w:p w14:paraId="0DF2446F"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316.35 ± 6.19</w:t>
            </w:r>
          </w:p>
        </w:tc>
        <w:tc>
          <w:tcPr>
            <w:tcW w:w="1376" w:type="pct"/>
          </w:tcPr>
          <w:p w14:paraId="2237FEA3"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0.376 ± 0.03</w:t>
            </w:r>
          </w:p>
        </w:tc>
        <w:tc>
          <w:tcPr>
            <w:tcW w:w="1319" w:type="pct"/>
          </w:tcPr>
          <w:p w14:paraId="5930826A"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-30.24 ± 0.337</w:t>
            </w:r>
          </w:p>
        </w:tc>
      </w:tr>
      <w:tr w:rsidR="00F41115" w:rsidRPr="009C5DE1" w14:paraId="7EEF98AD" w14:textId="77777777" w:rsidTr="00711140">
        <w:trPr>
          <w:trHeight w:val="448"/>
        </w:trPr>
        <w:tc>
          <w:tcPr>
            <w:cnfStyle w:val="001000000000" w:firstRow="0" w:lastRow="0" w:firstColumn="1" w:lastColumn="0" w:oddVBand="0" w:evenVBand="0" w:oddHBand="0" w:evenHBand="0" w:firstRowFirstColumn="0" w:firstRowLastColumn="0" w:lastRowFirstColumn="0" w:lastRowLastColumn="0"/>
            <w:tcW w:w="985" w:type="pct"/>
          </w:tcPr>
          <w:p w14:paraId="0D79E665" w14:textId="77777777" w:rsidR="00F41115" w:rsidRPr="009C5DE1" w:rsidRDefault="00F41115" w:rsidP="00711140">
            <w:pPr>
              <w:tabs>
                <w:tab w:val="left" w:pos="3759"/>
              </w:tabs>
              <w:rPr>
                <w:rFonts w:asciiTheme="majorBidi" w:hAnsiTheme="majorBidi" w:cstheme="majorBidi"/>
                <w:sz w:val="20"/>
                <w:szCs w:val="20"/>
              </w:rPr>
            </w:pPr>
            <w:r w:rsidRPr="009C5DE1">
              <w:rPr>
                <w:rFonts w:asciiTheme="majorBidi" w:hAnsiTheme="majorBidi" w:cstheme="majorBidi"/>
                <w:sz w:val="20"/>
                <w:szCs w:val="20"/>
              </w:rPr>
              <w:t>3</w:t>
            </w:r>
          </w:p>
        </w:tc>
        <w:tc>
          <w:tcPr>
            <w:tcW w:w="1320" w:type="pct"/>
          </w:tcPr>
          <w:p w14:paraId="18887015" w14:textId="77777777" w:rsidR="00F41115" w:rsidRPr="009C5DE1" w:rsidRDefault="00F41115" w:rsidP="00711140">
            <w:pPr>
              <w:tabs>
                <w:tab w:val="left" w:pos="3759"/>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325.87 ± 4.53</w:t>
            </w:r>
          </w:p>
        </w:tc>
        <w:tc>
          <w:tcPr>
            <w:tcW w:w="1376" w:type="pct"/>
          </w:tcPr>
          <w:p w14:paraId="4540A2BB" w14:textId="77777777" w:rsidR="00F41115" w:rsidRPr="009C5DE1" w:rsidRDefault="00F41115" w:rsidP="00711140">
            <w:pPr>
              <w:tabs>
                <w:tab w:val="left" w:pos="3759"/>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0.432 ± 0.04</w:t>
            </w:r>
          </w:p>
        </w:tc>
        <w:tc>
          <w:tcPr>
            <w:tcW w:w="1319" w:type="pct"/>
          </w:tcPr>
          <w:p w14:paraId="5BAFB640" w14:textId="77777777" w:rsidR="00F41115" w:rsidRPr="009C5DE1" w:rsidRDefault="00F41115" w:rsidP="00711140">
            <w:pPr>
              <w:tabs>
                <w:tab w:val="left" w:pos="3759"/>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-29.57 ± 0.532</w:t>
            </w:r>
          </w:p>
        </w:tc>
      </w:tr>
      <w:tr w:rsidR="00F41115" w:rsidRPr="009C5DE1" w14:paraId="209465BB" w14:textId="77777777" w:rsidTr="00711140">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85" w:type="pct"/>
          </w:tcPr>
          <w:p w14:paraId="48C12679" w14:textId="77777777" w:rsidR="00F41115" w:rsidRPr="009C5DE1" w:rsidRDefault="00F41115" w:rsidP="00711140">
            <w:pPr>
              <w:tabs>
                <w:tab w:val="left" w:pos="3759"/>
              </w:tabs>
              <w:rPr>
                <w:rFonts w:asciiTheme="majorBidi" w:hAnsiTheme="majorBidi" w:cstheme="majorBidi"/>
                <w:sz w:val="20"/>
                <w:szCs w:val="20"/>
              </w:rPr>
            </w:pPr>
            <w:r w:rsidRPr="009C5DE1">
              <w:rPr>
                <w:rFonts w:asciiTheme="majorBidi" w:hAnsiTheme="majorBidi" w:cstheme="majorBidi"/>
                <w:sz w:val="20"/>
                <w:szCs w:val="20"/>
              </w:rPr>
              <w:t>4</w:t>
            </w:r>
          </w:p>
        </w:tc>
        <w:tc>
          <w:tcPr>
            <w:tcW w:w="1320" w:type="pct"/>
          </w:tcPr>
          <w:p w14:paraId="34EDD317"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323.05 ± 9.87</w:t>
            </w:r>
          </w:p>
        </w:tc>
        <w:tc>
          <w:tcPr>
            <w:tcW w:w="1376" w:type="pct"/>
          </w:tcPr>
          <w:p w14:paraId="22C7D8BF"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0.443 ± 0.03</w:t>
            </w:r>
          </w:p>
        </w:tc>
        <w:tc>
          <w:tcPr>
            <w:tcW w:w="1319" w:type="pct"/>
          </w:tcPr>
          <w:p w14:paraId="67D2E47C" w14:textId="77777777" w:rsidR="00F41115" w:rsidRPr="009C5DE1" w:rsidRDefault="00F41115" w:rsidP="00711140">
            <w:pPr>
              <w:tabs>
                <w:tab w:val="left" w:pos="3759"/>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C5DE1">
              <w:rPr>
                <w:rFonts w:asciiTheme="majorBidi" w:hAnsiTheme="majorBidi" w:cstheme="majorBidi"/>
                <w:sz w:val="20"/>
                <w:szCs w:val="20"/>
              </w:rPr>
              <w:t>-28.48 ± 0.442</w:t>
            </w:r>
          </w:p>
        </w:tc>
      </w:tr>
    </w:tbl>
    <w:p w14:paraId="0D3FDB32" w14:textId="77777777" w:rsidR="00711140" w:rsidRDefault="00711140" w:rsidP="00711140">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Supplementary </w:t>
      </w:r>
      <w:r w:rsidRPr="00452BCD">
        <w:rPr>
          <w:rFonts w:asciiTheme="majorBidi" w:hAnsiTheme="majorBidi" w:cstheme="majorBidi"/>
          <w:b/>
          <w:bCs/>
          <w:sz w:val="24"/>
          <w:szCs w:val="24"/>
        </w:rPr>
        <w:t xml:space="preserve">Table </w:t>
      </w:r>
      <w:r>
        <w:rPr>
          <w:rFonts w:asciiTheme="majorBidi" w:hAnsiTheme="majorBidi" w:cstheme="majorBidi"/>
          <w:b/>
          <w:bCs/>
          <w:sz w:val="24"/>
          <w:szCs w:val="24"/>
        </w:rPr>
        <w:t>1</w:t>
      </w:r>
      <w:r w:rsidRPr="00452BCD">
        <w:rPr>
          <w:rFonts w:asciiTheme="majorBidi" w:hAnsiTheme="majorBidi" w:cstheme="majorBidi"/>
          <w:b/>
          <w:bCs/>
          <w:sz w:val="24"/>
          <w:szCs w:val="24"/>
        </w:rPr>
        <w:t xml:space="preserve">. Stability data of </w:t>
      </w:r>
      <w:r>
        <w:rPr>
          <w:rFonts w:asciiTheme="majorBidi" w:hAnsiTheme="majorBidi" w:cstheme="majorBidi"/>
          <w:b/>
          <w:bCs/>
          <w:sz w:val="24"/>
          <w:szCs w:val="24"/>
        </w:rPr>
        <w:t>THC-</w:t>
      </w:r>
      <w:proofErr w:type="spellStart"/>
      <w:r>
        <w:rPr>
          <w:rFonts w:asciiTheme="majorBidi" w:hAnsiTheme="majorBidi" w:cstheme="majorBidi"/>
          <w:b/>
          <w:bCs/>
          <w:sz w:val="24"/>
          <w:szCs w:val="24"/>
        </w:rPr>
        <w:t>phytosomes</w:t>
      </w:r>
      <w:proofErr w:type="spellEnd"/>
      <w:r w:rsidRPr="00452BCD">
        <w:rPr>
          <w:rFonts w:asciiTheme="majorBidi" w:hAnsiTheme="majorBidi" w:cstheme="majorBidi"/>
          <w:b/>
          <w:bCs/>
          <w:sz w:val="24"/>
          <w:szCs w:val="24"/>
        </w:rPr>
        <w:t xml:space="preserve"> formulation (P1) during storage for 4 months</w:t>
      </w:r>
      <w:r w:rsidRPr="00452BCD">
        <w:rPr>
          <w:rFonts w:asciiTheme="majorBidi" w:hAnsiTheme="majorBidi" w:cstheme="majorBidi"/>
          <w:sz w:val="24"/>
          <w:szCs w:val="24"/>
        </w:rPr>
        <w:t xml:space="preserve"> </w:t>
      </w:r>
      <w:r w:rsidRPr="00452BCD">
        <w:rPr>
          <w:rFonts w:asciiTheme="majorBidi" w:hAnsiTheme="majorBidi" w:cstheme="majorBidi"/>
          <w:b/>
          <w:bCs/>
          <w:sz w:val="24"/>
          <w:szCs w:val="24"/>
        </w:rPr>
        <w:t>at 4°C</w:t>
      </w:r>
      <w:r>
        <w:rPr>
          <w:rFonts w:asciiTheme="majorBidi" w:hAnsiTheme="majorBidi" w:cstheme="majorBidi"/>
          <w:sz w:val="24"/>
          <w:szCs w:val="24"/>
        </w:rPr>
        <w:t>.</w:t>
      </w:r>
    </w:p>
    <w:p w14:paraId="780F73FF" w14:textId="77777777" w:rsidR="00F41115" w:rsidRDefault="00F41115" w:rsidP="00F41115">
      <w:pPr>
        <w:spacing w:line="480" w:lineRule="auto"/>
        <w:jc w:val="both"/>
        <w:rPr>
          <w:rFonts w:asciiTheme="majorBidi" w:hAnsiTheme="majorBidi" w:cstheme="majorBidi"/>
          <w:sz w:val="24"/>
          <w:szCs w:val="24"/>
        </w:rPr>
      </w:pPr>
    </w:p>
    <w:p w14:paraId="03E1FF44" w14:textId="77777777" w:rsidR="00F41115" w:rsidRDefault="00F41115" w:rsidP="00F41115">
      <w:pPr>
        <w:spacing w:line="480" w:lineRule="auto"/>
        <w:jc w:val="both"/>
        <w:rPr>
          <w:rFonts w:asciiTheme="majorBidi" w:hAnsiTheme="majorBidi" w:cstheme="majorBidi"/>
          <w:sz w:val="24"/>
          <w:szCs w:val="24"/>
        </w:rPr>
      </w:pPr>
    </w:p>
    <w:p w14:paraId="5A0402AB" w14:textId="66E75048" w:rsidR="0035579F" w:rsidRDefault="0035579F" w:rsidP="00675BDC">
      <w:pPr>
        <w:spacing w:line="480" w:lineRule="auto"/>
        <w:jc w:val="both"/>
        <w:rPr>
          <w:rFonts w:asciiTheme="majorBidi" w:hAnsiTheme="majorBidi" w:cstheme="majorBidi"/>
          <w:sz w:val="24"/>
          <w:szCs w:val="24"/>
        </w:rPr>
      </w:pPr>
    </w:p>
    <w:p w14:paraId="52FFC527" w14:textId="77777777" w:rsidR="0035579F" w:rsidRDefault="0035579F" w:rsidP="00675BDC">
      <w:pPr>
        <w:spacing w:line="480" w:lineRule="auto"/>
        <w:jc w:val="both"/>
        <w:rPr>
          <w:rFonts w:asciiTheme="majorBidi" w:hAnsiTheme="majorBidi" w:cstheme="majorBidi"/>
          <w:b/>
          <w:bCs/>
          <w:sz w:val="28"/>
          <w:szCs w:val="28"/>
        </w:rPr>
      </w:pPr>
    </w:p>
    <w:p w14:paraId="2B838BC0" w14:textId="29F25722" w:rsidR="00F41115" w:rsidRPr="00F41115" w:rsidRDefault="00F41115" w:rsidP="00351C29">
      <w:pPr>
        <w:spacing w:line="480" w:lineRule="auto"/>
        <w:jc w:val="both"/>
        <w:rPr>
          <w:rFonts w:asciiTheme="majorBidi" w:hAnsiTheme="majorBidi" w:cstheme="majorBidi"/>
          <w:b/>
          <w:bCs/>
          <w:sz w:val="28"/>
          <w:szCs w:val="28"/>
        </w:rPr>
      </w:pPr>
    </w:p>
    <w:sectPr w:rsidR="00F41115" w:rsidRPr="00F411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4F2A" w14:textId="77777777" w:rsidR="00B913E8" w:rsidRDefault="00B913E8" w:rsidP="00D726AD">
      <w:pPr>
        <w:spacing w:after="0" w:line="240" w:lineRule="auto"/>
      </w:pPr>
      <w:r>
        <w:separator/>
      </w:r>
    </w:p>
  </w:endnote>
  <w:endnote w:type="continuationSeparator" w:id="0">
    <w:p w14:paraId="23C4918D" w14:textId="77777777" w:rsidR="00B913E8" w:rsidRDefault="00B913E8" w:rsidP="00D7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066900"/>
      <w:docPartObj>
        <w:docPartGallery w:val="Page Numbers (Bottom of Page)"/>
        <w:docPartUnique/>
      </w:docPartObj>
    </w:sdtPr>
    <w:sdtEndPr>
      <w:rPr>
        <w:noProof/>
      </w:rPr>
    </w:sdtEndPr>
    <w:sdtContent>
      <w:p w14:paraId="1988087D" w14:textId="118A354E" w:rsidR="00D726AD" w:rsidRDefault="00D726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D535A" w14:textId="77777777" w:rsidR="00D726AD" w:rsidRDefault="00D7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8D3C" w14:textId="77777777" w:rsidR="00B913E8" w:rsidRDefault="00B913E8" w:rsidP="00D726AD">
      <w:pPr>
        <w:spacing w:after="0" w:line="240" w:lineRule="auto"/>
      </w:pPr>
      <w:r>
        <w:separator/>
      </w:r>
    </w:p>
  </w:footnote>
  <w:footnote w:type="continuationSeparator" w:id="0">
    <w:p w14:paraId="32F492B2" w14:textId="77777777" w:rsidR="00B913E8" w:rsidRDefault="00B913E8" w:rsidP="00D72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w9adr0920v2ie2v025p05nrwvt5eaextfd&quot;&gt;My EndNote Library&lt;record-ids&gt;&lt;item&gt;142&lt;/item&gt;&lt;item&gt;145&lt;/item&gt;&lt;item&gt;146&lt;/item&gt;&lt;item&gt;147&lt;/item&gt;&lt;/record-ids&gt;&lt;/item&gt;&lt;/Libraries&gt;"/>
  </w:docVars>
  <w:rsids>
    <w:rsidRoot w:val="008A3859"/>
    <w:rsid w:val="000371DA"/>
    <w:rsid w:val="00061A05"/>
    <w:rsid w:val="000A606A"/>
    <w:rsid w:val="00171C31"/>
    <w:rsid w:val="00196364"/>
    <w:rsid w:val="00215000"/>
    <w:rsid w:val="00272B32"/>
    <w:rsid w:val="00274A07"/>
    <w:rsid w:val="00340C18"/>
    <w:rsid w:val="00351C29"/>
    <w:rsid w:val="0035579F"/>
    <w:rsid w:val="00393815"/>
    <w:rsid w:val="003B178B"/>
    <w:rsid w:val="003F20FB"/>
    <w:rsid w:val="00450507"/>
    <w:rsid w:val="0048133B"/>
    <w:rsid w:val="00487C03"/>
    <w:rsid w:val="004900AC"/>
    <w:rsid w:val="004922AF"/>
    <w:rsid w:val="005612B7"/>
    <w:rsid w:val="005A5AF5"/>
    <w:rsid w:val="005E5F87"/>
    <w:rsid w:val="005F7691"/>
    <w:rsid w:val="006271B6"/>
    <w:rsid w:val="00654040"/>
    <w:rsid w:val="00664B66"/>
    <w:rsid w:val="00664C74"/>
    <w:rsid w:val="00675BDC"/>
    <w:rsid w:val="0067752A"/>
    <w:rsid w:val="00684822"/>
    <w:rsid w:val="006A1291"/>
    <w:rsid w:val="006C3FDD"/>
    <w:rsid w:val="006F1332"/>
    <w:rsid w:val="00711140"/>
    <w:rsid w:val="00715321"/>
    <w:rsid w:val="00725CC0"/>
    <w:rsid w:val="00730A63"/>
    <w:rsid w:val="00735B07"/>
    <w:rsid w:val="00771F89"/>
    <w:rsid w:val="007734D1"/>
    <w:rsid w:val="007B313D"/>
    <w:rsid w:val="007F029B"/>
    <w:rsid w:val="0087314F"/>
    <w:rsid w:val="008774F5"/>
    <w:rsid w:val="008A201B"/>
    <w:rsid w:val="008A2D65"/>
    <w:rsid w:val="008A3859"/>
    <w:rsid w:val="008B7168"/>
    <w:rsid w:val="008D7872"/>
    <w:rsid w:val="00956261"/>
    <w:rsid w:val="009633A5"/>
    <w:rsid w:val="009A02BC"/>
    <w:rsid w:val="009A3E93"/>
    <w:rsid w:val="00A64735"/>
    <w:rsid w:val="00A73550"/>
    <w:rsid w:val="00A762A2"/>
    <w:rsid w:val="00A8348C"/>
    <w:rsid w:val="00A92251"/>
    <w:rsid w:val="00AE4E7D"/>
    <w:rsid w:val="00B30BC4"/>
    <w:rsid w:val="00B913E8"/>
    <w:rsid w:val="00BD7FB3"/>
    <w:rsid w:val="00BE04F2"/>
    <w:rsid w:val="00C553A4"/>
    <w:rsid w:val="00D4461C"/>
    <w:rsid w:val="00D51653"/>
    <w:rsid w:val="00D54ED0"/>
    <w:rsid w:val="00D65346"/>
    <w:rsid w:val="00D726AD"/>
    <w:rsid w:val="00E42363"/>
    <w:rsid w:val="00E75BFA"/>
    <w:rsid w:val="00E84205"/>
    <w:rsid w:val="00E91976"/>
    <w:rsid w:val="00EC4DFC"/>
    <w:rsid w:val="00F406A8"/>
    <w:rsid w:val="00F41115"/>
    <w:rsid w:val="00FF0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331"/>
  <w15:chartTrackingRefBased/>
  <w15:docId w15:val="{D78686F3-F81C-4722-B89B-C63B63BC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859"/>
  </w:style>
  <w:style w:type="paragraph" w:styleId="Heading2">
    <w:name w:val="heading 2"/>
    <w:basedOn w:val="Normal"/>
    <w:next w:val="Normal"/>
    <w:link w:val="Heading2Char"/>
    <w:uiPriority w:val="9"/>
    <w:unhideWhenUsed/>
    <w:qFormat/>
    <w:rsid w:val="00B30B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0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A38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859"/>
    <w:rPr>
      <w:color w:val="0000FF"/>
      <w:u w:val="single"/>
    </w:rPr>
  </w:style>
  <w:style w:type="character" w:customStyle="1" w:styleId="Heading4Char">
    <w:name w:val="Heading 4 Char"/>
    <w:basedOn w:val="DefaultParagraphFont"/>
    <w:link w:val="Heading4"/>
    <w:uiPriority w:val="9"/>
    <w:rsid w:val="008A3859"/>
    <w:rPr>
      <w:rFonts w:ascii="Times New Roman" w:eastAsia="Times New Roman" w:hAnsi="Times New Roman" w:cs="Times New Roman"/>
      <w:b/>
      <w:bCs/>
      <w:sz w:val="24"/>
      <w:szCs w:val="24"/>
    </w:rPr>
  </w:style>
  <w:style w:type="paragraph" w:styleId="NormalWeb">
    <w:name w:val="Normal (Web)"/>
    <w:basedOn w:val="Normal"/>
    <w:uiPriority w:val="99"/>
    <w:unhideWhenUsed/>
    <w:rsid w:val="008A385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A38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A3859"/>
    <w:rPr>
      <w:rFonts w:ascii="Times New Roman" w:eastAsia="Times New Roman" w:hAnsi="Times New Roman" w:cs="Times New Roman"/>
      <w:sz w:val="24"/>
      <w:szCs w:val="24"/>
    </w:rPr>
  </w:style>
  <w:style w:type="character" w:customStyle="1" w:styleId="fmainbody">
    <w:name w:val="f_mainbody"/>
    <w:basedOn w:val="DefaultParagraphFont"/>
    <w:rsid w:val="00675BDC"/>
  </w:style>
  <w:style w:type="character" w:styleId="Strong">
    <w:name w:val="Strong"/>
    <w:basedOn w:val="DefaultParagraphFont"/>
    <w:uiPriority w:val="22"/>
    <w:qFormat/>
    <w:rsid w:val="003F20FB"/>
    <w:rPr>
      <w:b/>
      <w:bCs/>
    </w:rPr>
  </w:style>
  <w:style w:type="character" w:styleId="CommentReference">
    <w:name w:val="annotation reference"/>
    <w:basedOn w:val="DefaultParagraphFont"/>
    <w:uiPriority w:val="99"/>
    <w:semiHidden/>
    <w:unhideWhenUsed/>
    <w:rsid w:val="00A73550"/>
    <w:rPr>
      <w:sz w:val="16"/>
      <w:szCs w:val="16"/>
    </w:rPr>
  </w:style>
  <w:style w:type="paragraph" w:styleId="CommentText">
    <w:name w:val="annotation text"/>
    <w:basedOn w:val="Normal"/>
    <w:link w:val="CommentTextChar"/>
    <w:uiPriority w:val="99"/>
    <w:unhideWhenUsed/>
    <w:rsid w:val="00A73550"/>
    <w:pPr>
      <w:spacing w:line="240" w:lineRule="auto"/>
    </w:pPr>
    <w:rPr>
      <w:sz w:val="20"/>
      <w:szCs w:val="20"/>
    </w:rPr>
  </w:style>
  <w:style w:type="character" w:customStyle="1" w:styleId="CommentTextChar">
    <w:name w:val="Comment Text Char"/>
    <w:basedOn w:val="DefaultParagraphFont"/>
    <w:link w:val="CommentText"/>
    <w:uiPriority w:val="99"/>
    <w:rsid w:val="00A73550"/>
    <w:rPr>
      <w:sz w:val="20"/>
      <w:szCs w:val="20"/>
    </w:rPr>
  </w:style>
  <w:style w:type="paragraph" w:styleId="CommentSubject">
    <w:name w:val="annotation subject"/>
    <w:basedOn w:val="CommentText"/>
    <w:next w:val="CommentText"/>
    <w:link w:val="CommentSubjectChar"/>
    <w:uiPriority w:val="99"/>
    <w:semiHidden/>
    <w:unhideWhenUsed/>
    <w:rsid w:val="00E91976"/>
    <w:rPr>
      <w:b/>
      <w:bCs/>
    </w:rPr>
  </w:style>
  <w:style w:type="character" w:customStyle="1" w:styleId="CommentSubjectChar">
    <w:name w:val="Comment Subject Char"/>
    <w:basedOn w:val="CommentTextChar"/>
    <w:link w:val="CommentSubject"/>
    <w:uiPriority w:val="99"/>
    <w:semiHidden/>
    <w:rsid w:val="00E91976"/>
    <w:rPr>
      <w:b/>
      <w:bCs/>
      <w:sz w:val="20"/>
      <w:szCs w:val="20"/>
    </w:rPr>
  </w:style>
  <w:style w:type="paragraph" w:customStyle="1" w:styleId="EndNoteBibliography">
    <w:name w:val="EndNote Bibliography"/>
    <w:basedOn w:val="Normal"/>
    <w:link w:val="EndNoteBibliographyChar"/>
    <w:rsid w:val="00E91976"/>
    <w:pPr>
      <w:spacing w:line="240" w:lineRule="auto"/>
      <w:jc w:val="both"/>
    </w:pPr>
    <w:rPr>
      <w:rFonts w:ascii="Calibri" w:eastAsia="Times New Roman" w:hAnsi="Calibri" w:cs="Calibri"/>
      <w:noProof/>
      <w:szCs w:val="24"/>
    </w:rPr>
  </w:style>
  <w:style w:type="character" w:customStyle="1" w:styleId="EndNoteBibliographyChar">
    <w:name w:val="EndNote Bibliography Char"/>
    <w:basedOn w:val="BodyTextChar"/>
    <w:link w:val="EndNoteBibliography"/>
    <w:rsid w:val="00E91976"/>
    <w:rPr>
      <w:rFonts w:ascii="Calibri" w:eastAsia="Times New Roman" w:hAnsi="Calibri" w:cs="Calibri"/>
      <w:noProof/>
      <w:sz w:val="24"/>
      <w:szCs w:val="24"/>
    </w:rPr>
  </w:style>
  <w:style w:type="table" w:styleId="PlainTable1">
    <w:name w:val="Plain Table 1"/>
    <w:basedOn w:val="TableNormal"/>
    <w:uiPriority w:val="41"/>
    <w:rsid w:val="00F411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B30B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0BC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B30BC4"/>
    <w:pPr>
      <w:spacing w:after="0" w:line="240" w:lineRule="auto"/>
    </w:pPr>
  </w:style>
  <w:style w:type="paragraph" w:styleId="BalloonText">
    <w:name w:val="Balloon Text"/>
    <w:basedOn w:val="Normal"/>
    <w:link w:val="BalloonTextChar"/>
    <w:uiPriority w:val="99"/>
    <w:semiHidden/>
    <w:unhideWhenUsed/>
    <w:rsid w:val="005E5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87"/>
    <w:rPr>
      <w:rFonts w:ascii="Segoe UI" w:hAnsi="Segoe UI" w:cs="Segoe UI"/>
      <w:sz w:val="18"/>
      <w:szCs w:val="18"/>
    </w:rPr>
  </w:style>
  <w:style w:type="paragraph" w:customStyle="1" w:styleId="EndNoteBibliographyTitle">
    <w:name w:val="EndNote Bibliography Title"/>
    <w:basedOn w:val="Normal"/>
    <w:link w:val="EndNoteBibliographyTitleChar"/>
    <w:rsid w:val="00351C2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51C29"/>
    <w:rPr>
      <w:rFonts w:ascii="Calibri" w:hAnsi="Calibri" w:cs="Calibri"/>
      <w:noProof/>
    </w:rPr>
  </w:style>
  <w:style w:type="character" w:customStyle="1" w:styleId="UnresolvedMention1">
    <w:name w:val="Unresolved Mention1"/>
    <w:basedOn w:val="DefaultParagraphFont"/>
    <w:uiPriority w:val="99"/>
    <w:semiHidden/>
    <w:unhideWhenUsed/>
    <w:rsid w:val="00351C29"/>
    <w:rPr>
      <w:color w:val="605E5C"/>
      <w:shd w:val="clear" w:color="auto" w:fill="E1DFDD"/>
    </w:rPr>
  </w:style>
  <w:style w:type="paragraph" w:styleId="Header">
    <w:name w:val="header"/>
    <w:basedOn w:val="Normal"/>
    <w:link w:val="HeaderChar"/>
    <w:uiPriority w:val="99"/>
    <w:unhideWhenUsed/>
    <w:rsid w:val="00D726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26AD"/>
  </w:style>
  <w:style w:type="paragraph" w:styleId="Footer">
    <w:name w:val="footer"/>
    <w:basedOn w:val="Normal"/>
    <w:link w:val="FooterChar"/>
    <w:uiPriority w:val="99"/>
    <w:unhideWhenUsed/>
    <w:rsid w:val="00D726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Blu-Ray</dc:creator>
  <cp:keywords/>
  <dc:description/>
  <cp:lastModifiedBy>Blu-Ray</cp:lastModifiedBy>
  <cp:revision>6</cp:revision>
  <dcterms:created xsi:type="dcterms:W3CDTF">2024-07-15T18:24:00Z</dcterms:created>
  <dcterms:modified xsi:type="dcterms:W3CDTF">2024-08-24T20:52:00Z</dcterms:modified>
</cp:coreProperties>
</file>