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SUPPORTING INFORMATION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Figure S1: Example of a Discrete Choice Experiment Choice Scenario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</w:rPr>
      </w:pPr>
      <w:r>
        <w:rPr/>
        <w:drawing>
          <wp:inline distT="0" distB="0" distL="0" distR="0">
            <wp:extent cx="5641975" cy="4160520"/>
            <wp:effectExtent l="0" t="0" r="0" b="0"/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Notes: THC stands for Tetrahydrocannabinol.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  <w:bCs/>
          <w:color w:val="0070C0"/>
        </w:rPr>
      </w:pPr>
      <w:r>
        <w:rPr>
          <w:rFonts w:ascii="Times New Roman" w:hAnsi="Times New Roman"/>
        </w:rPr>
        <w:t>Technical Note S1. Definitions of Cannabis Quality Levels</w:t>
      </w:r>
    </w:p>
    <w:p>
      <w:pPr>
        <w:pStyle w:val="Normal"/>
        <w:numPr>
          <w:ilvl w:val="0"/>
          <w:numId w:val="5"/>
        </w:numPr>
        <w:rPr/>
      </w:pPr>
      <w:r>
        <w:rPr/>
        <w:t>Low-quality marijuana flowers are very dry, full of seeds and stems, and more brown than green.</w:t>
      </w:r>
    </w:p>
    <w:p>
      <w:pPr>
        <w:pStyle w:val="Normal"/>
        <w:jc w:val="center"/>
        <w:rPr>
          <w:rFonts w:ascii="Times New Roman" w:hAnsi="Times New Roman" w:cs="Times New Roman"/>
          <w:bCs/>
          <w:color w:val="0070C0"/>
        </w:rPr>
      </w:pPr>
      <w:r>
        <w:rPr>
          <w:rFonts w:ascii="Times New Roman" w:hAnsi="Times New Roman"/>
        </w:rPr>
        <w:drawing>
          <wp:inline distT="0" distB="0" distL="0" distR="0">
            <wp:extent cx="733425" cy="781050"/>
            <wp:effectExtent l="0" t="0" r="0" b="0"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6"/>
        </w:numPr>
        <w:rPr/>
      </w:pPr>
      <w:r>
        <w:rPr>
          <w:rFonts w:ascii="Times New Roman" w:hAnsi="Times New Roman"/>
        </w:rPr>
        <w:t>Medium-quality marijuana flowers can be identified by their spectrum of green hues and the presence of colorful pistils. Seeds and stems are minimal, but the flowers can suffer from a number of quick-to-market techniques like improper flushing of nutrients, quick curing methods, and sloppy trim jobs.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017905" cy="641985"/>
            <wp:effectExtent l="0" t="0" r="0" b="0"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7"/>
        </w:numPr>
        <w:rPr/>
      </w:pPr>
      <w:r>
        <w:rPr>
          <w:rFonts w:ascii="Times New Roman" w:hAnsi="Times New Roman"/>
        </w:rPr>
        <w:t>High quality marijuana flowers are primarily green in color with a brilliant array of vibrant colors. Seeds and stems are extremely rare. The flowers themselves are typically dense and chunky.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069340" cy="681990"/>
            <wp:effectExtent l="0" t="0" r="0" b="0"/>
            <wp:docPr id="4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</w:rPr>
        <w:t>Figure S2. Factors Not Described by the DCE Attributes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</w:rPr>
      </w:pPr>
      <w:r>
        <w:rPr/>
        <w:drawing>
          <wp:inline distT="0" distB="0" distL="0" distR="0">
            <wp:extent cx="4563110" cy="2788285"/>
            <wp:effectExtent l="0" t="0" r="0" b="0"/>
            <wp:docPr id="5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Technical Note S2. Assumptions in the Benchmark Policy Scenario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For both legal and illegal cannabis, low, medium, and high qualities are evenly distributed (1/3 each).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For both legal and illegal cannabis, lab test is not present.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For both legal and illegal cannabis, equal number of sellers are located 1-, 10-, and 50-mile away (1/3 each). Deliveries are not allowed.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For legal cannabis, 10%, 20%, 30%, and unknown THC levels are evenly distributed (1/4 each). All illegal cannabis has unknown THC level.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</w:rPr>
        <w:t xml:space="preserve">For both legal and illegal cannabis, $20, $30, $40, and $50 prices are evenly distributed (1/4 each). </w:t>
      </w:r>
      <w:bookmarkStart w:id="0" w:name="_GoBack"/>
      <w:bookmarkEnd w:id="0"/>
      <w:r>
        <w:br w:type="page"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Table S1. Study Sample Characteristics and Comparison to 2019 </w:t>
      </w:r>
      <w:r>
        <w:rPr>
          <w:rFonts w:cs="Times New Roman" w:ascii="Times New Roman" w:hAnsi="Times New Roman"/>
          <w:b/>
        </w:rPr>
        <w:t>National Survey on Drug Use and Health (NSDUH)</w:t>
      </w:r>
    </w:p>
    <w:tbl>
      <w:tblPr>
        <w:tblStyle w:val="TableGridLight"/>
        <w:tblW w:w="7465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60"/>
        <w:gridCol w:w="1166"/>
        <w:gridCol w:w="1139"/>
      </w:tblGrid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14:ligatures w14:val="standardContextual"/>
              </w:rPr>
              <w:t>Variable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14:ligatures w14:val="standardContextual"/>
              </w:rPr>
              <w:t>Study Sample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14:ligatures w14:val="standardContextual"/>
              </w:rPr>
              <w:t>2019 NSDUH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14:ligatures w14:val="standardContextual"/>
              </w:rPr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14:ligatures w14:val="standardContextual"/>
              </w:rPr>
              <w:t>%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 xml:space="preserve">Age 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21-34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50.26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46.95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35+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49.74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53.05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Sex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Male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58.57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57.70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Female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41.43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42.30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Educational Attainment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High School Degree or Less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33.02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31.50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Some College/Associate Degree or College Graduate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66.98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68.50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Race and Ethnicity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</w:r>
            <w:bookmarkStart w:id="1" w:name="_Hlk134887458"/>
            <w:bookmarkStart w:id="2" w:name="_Hlk134887458"/>
            <w:bookmarkEnd w:id="2"/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Hispanic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14.33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13.32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Non-Hispanic White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70.72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67.06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Non-Hispanic Black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8.00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13.24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Non-Hispanic Other Minorities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6.96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6.38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2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Cannabis Use Purposes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2" w:space="0" w:color="000000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Medical-only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18.07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NA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Recreational-only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40.08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NA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firstLine="22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Dual-purpose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41.85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NA</w:t>
            </w:r>
            <w:bookmarkStart w:id="3" w:name="_Hlk130403143"/>
            <w:bookmarkEnd w:id="3"/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Cannabis Use Frequency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14:ligatures w14:val="standardContextual"/>
              </w:rPr>
              <w:t>Occasional Use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58.88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70.08</w:t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14:ligatures w14:val="standardContextual"/>
              </w:rPr>
              <w:t>Regular Use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41.12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29.92</w:t>
            </w:r>
          </w:p>
        </w:tc>
      </w:tr>
      <w:tr>
        <w:trPr>
          <w:trHeight w:val="64" w:hRule="atLeast"/>
        </w:trPr>
        <w:tc>
          <w:tcPr>
            <w:tcW w:w="5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14:ligatures w14:val="standardContextual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</w:r>
          </w:p>
        </w:tc>
      </w:tr>
      <w:tr>
        <w:trPr>
          <w:trHeight w:val="290" w:hRule="atLeast"/>
        </w:trPr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Number of Participants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963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14:ligatures w14:val="standardContextual"/>
              </w:rPr>
              <w:t>8,405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Notes: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The analysis of 2019 NSDUH was restricted to past-year cannabis users. </w:t>
      </w:r>
    </w:p>
    <w:p>
      <w:pPr>
        <w:sectPr>
          <w:footerReference w:type="default" r:id="rId7"/>
          <w:type w:val="nextPage"/>
          <w:pgSz w:w="12240" w:h="15840"/>
          <w:pgMar w:left="1440" w:right="1440" w:header="0" w:top="1440" w:footer="720" w:bottom="1440" w:gutter="0"/>
          <w:pgNumType w:fmt="decimal"/>
          <w:formProt w:val="false"/>
          <w:textDirection w:val="lrTb"/>
          <w:docGrid w:type="default" w:linePitch="360" w:charSpace="4096"/>
        </w:sect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The statistics of cannabis use purposes are not reported for NSDUH because its definitions are not comparable with our study.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bookmarkStart w:id="4" w:name="_Hlk129550535"/>
      <w:r>
        <w:rPr>
          <w:rFonts w:cs="Times New Roman" w:ascii="Times New Roman" w:hAnsi="Times New Roman"/>
          <w:b/>
          <w:bCs/>
        </w:rPr>
        <w:t xml:space="preserve">Figure S3: Relative Importance of Attributes for Legal </w:t>
      </w:r>
      <w:bookmarkEnd w:id="4"/>
      <w:r>
        <w:rPr>
          <w:rFonts w:cs="Times New Roman" w:ascii="Times New Roman" w:hAnsi="Times New Roman"/>
          <w:b/>
          <w:bCs/>
        </w:rPr>
        <w:t>Cannabis</w:t>
      </w:r>
    </w:p>
    <w:tbl>
      <w:tblPr>
        <w:tblStyle w:val="TableGrid"/>
        <w:tblW w:w="936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80"/>
        <w:gridCol w:w="4679"/>
      </w:tblGrid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6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All</w:t>
            </w:r>
          </w:p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cs="Times New Roman"/>
                <w14:ligatures w14:val="standardContextual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7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Medical-only User</w:t>
            </w:r>
          </w:p>
        </w:tc>
      </w:tr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</w:tr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8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Recreational-only User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9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Dual-purpose User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</w:tr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0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Occasional User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14:ligatures w14:val="standardContextual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1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Regular User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Notes: THC stands for Tetrahydrocannabinol.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sectPr>
          <w:footerReference w:type="default" r:id="rId14"/>
          <w:type w:val="nextPage"/>
          <w:pgSz w:w="12240" w:h="15840"/>
          <w:pgMar w:left="1440" w:right="1440" w:header="0" w:top="1440" w:footer="720" w:bottom="144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Figure S4: Relative Importance of Attributes for Illegal Cannabis</w:t>
      </w:r>
    </w:p>
    <w:tbl>
      <w:tblPr>
        <w:tblStyle w:val="TableGrid"/>
        <w:tblW w:w="936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80"/>
        <w:gridCol w:w="4679"/>
      </w:tblGrid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2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All</w:t>
            </w:r>
          </w:p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cs="Times New Roman"/>
                <w14:ligatures w14:val="standardContextual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3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Medical-only User</w:t>
            </w:r>
          </w:p>
        </w:tc>
      </w:tr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</w:tr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Recreational-only User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5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Dual-purpose User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</w:tr>
      <w:tr>
        <w:trPr/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6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Occasional User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14:ligatures w14:val="standardContextual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914015" cy="1457325"/>
                  <wp:effectExtent l="0" t="0" r="0" b="0"/>
                  <wp:docPr id="17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14:ligatures w14:val="standardContextual"/>
              </w:rPr>
              <w:t>Regular User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14:ligatures w14:val="standardContextual"/>
              </w:rPr>
            </w:pPr>
            <w:r>
              <w:rPr>
                <w:rFonts w:cs="Times New Roman" w:ascii="Times New Roman" w:hAnsi="Times New Roman"/>
                <w:b/>
                <w:bCs/>
                <w14:ligatures w14:val="standardContextual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</w:rPr>
        <w:t>Notes: THC stands for Tetrahydrocannabinol.</w:t>
      </w:r>
    </w:p>
    <w:sectPr>
      <w:footerReference w:type="default" r:id="rId21"/>
      <w:type w:val="nextPage"/>
      <w:pgSz w:w="12240" w:h="15840"/>
      <w:pgMar w:left="1440" w:right="1440" w:header="0" w:top="1440" w:footer="72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87922151"/>
    </w:sdtPr>
    <w:sdtContent>
      <w:p>
        <w:pPr>
          <w:pStyle w:val="Footer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5</w:t>
        </w:r>
        <w:r>
          <w:rPr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03071955"/>
    </w:sdtPr>
    <w:sdtContent>
      <w:p>
        <w:pPr>
          <w:pStyle w:val="Footer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6</w:t>
        </w:r>
        <w:r>
          <w:rPr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71168828"/>
    </w:sdtPr>
    <w:sdtContent>
      <w:p>
        <w:pPr>
          <w:pStyle w:val="Footer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7</w:t>
        </w:r>
        <w:r>
          <w:rPr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0E0D0D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  <w:color w:val="0E0D0D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  <w:color w:val="0E0D0D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0E0D0D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  <w:color w:val="0E0D0D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  <w:color w:val="0E0D0D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0E0D0D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  <w:color w:val="0E0D0D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  <w:color w:val="0E0D0D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0E0D0D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  <w:color w:val="0E0D0D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  <w:color w:val="0E0D0D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0E0D0D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  <w:color w:val="0E0D0D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  <w:color w:val="0E0D0D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0E0D0D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  <w:color w:val="0E0D0D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  <w:color w:val="0E0D0D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0E0D0D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  <w:color w:val="0E0D0D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  <w:color w:val="0E0D0D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0E0D0D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  <w:color w:val="0E0D0D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  <w:color w:val="0E0D0D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0E0D0D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  <w:color w:val="0E0D0D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  <w:color w:val="0E0D0D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等线" w:cs="" w:asciiTheme="minorHAnsi" w:cstheme="minorBidi" w:eastAsiaTheme="minorEastAsia" w:hAnsiTheme="minorHAnsi"/>
        <w:sz w:val="22"/>
        <w:szCs w:val="22"/>
        <w:lang w:val="en-US" w:eastAsia="zh-CN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e6643"/>
    <w:pPr>
      <w:widowControl/>
      <w:bidi w:val="0"/>
      <w:spacing w:lineRule="auto" w:line="259" w:before="0" w:after="160"/>
      <w:jc w:val="left"/>
    </w:pPr>
    <w:rPr>
      <w:rFonts w:eastAsia="Calibri" w:eastAsiaTheme="minorHAnsi" w:ascii="Calibri" w:hAnsi="Calibri" w:cs=""/>
      <w:color w:val="auto"/>
      <w:kern w:val="2"/>
      <w:sz w:val="22"/>
      <w:szCs w:val="22"/>
      <w:lang w:eastAsia="en-US" w:val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ae6643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ae6643"/>
    <w:rPr>
      <w:color w:val="605E5C"/>
      <w:shd w:fill="E1DFDD" w:val="clear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ae6643"/>
    <w:rPr>
      <w14:ligatures w14:val="standardContextual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ae6643"/>
    <w:rPr>
      <w14:ligatures w14:val="standardContextual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e6643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qFormat/>
    <w:rsid w:val="00ae6643"/>
    <w:rPr>
      <w:sz w:val="20"/>
      <w:szCs w:val="20"/>
      <w14:ligatures w14:val="standardContextual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ae6643"/>
    <w:rPr>
      <w:b/>
      <w:bCs/>
      <w:sz w:val="20"/>
      <w:szCs w:val="20"/>
      <w14:ligatures w14:val="standardContextual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ae6643"/>
    <w:rPr>
      <w:rFonts w:ascii="Segoe UI" w:hAnsi="Segoe UI" w:cs="Segoe UI"/>
      <w:sz w:val="18"/>
      <w:szCs w:val="18"/>
      <w14:ligatures w14:val="standardContextual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qFormat/>
    <w:rsid w:val="00ae6643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e6643"/>
    <w:rPr>
      <w:color w:val="954F72" w:themeColor="followedHyperlink"/>
      <w:u w:val="single"/>
    </w:rPr>
  </w:style>
  <w:style w:type="character" w:styleId="Cf01" w:customStyle="1">
    <w:name w:val="cf01"/>
    <w:basedOn w:val="DefaultParagraphFont"/>
    <w:qFormat/>
    <w:rsid w:val="00ae6643"/>
    <w:rPr>
      <w:rFonts w:ascii="Segoe UI" w:hAnsi="Segoe UI" w:cs="Segoe UI"/>
      <w:sz w:val="18"/>
      <w:szCs w:val="18"/>
    </w:rPr>
  </w:style>
  <w:style w:type="character" w:styleId="NoSpacingChar" w:customStyle="1">
    <w:name w:val="No Spacing Char"/>
    <w:basedOn w:val="DefaultParagraphFont"/>
    <w:link w:val="NoSpacing"/>
    <w:uiPriority w:val="1"/>
    <w:qFormat/>
    <w:rsid w:val="00ae6643"/>
    <w:rPr>
      <w:rFonts w:eastAsia="Calibri" w:eastAsiaTheme="minorHAnsi"/>
      <w:kern w:val="2"/>
      <w:lang w:eastAsia="en-US"/>
      <w14:ligatures w14:val="standardContextual"/>
    </w:rPr>
  </w:style>
  <w:style w:type="character" w:styleId="EndNoteBibliographyTitleChar" w:customStyle="1">
    <w:name w:val="EndNote Bibliography Title Char"/>
    <w:basedOn w:val="NoSpacingChar"/>
    <w:link w:val="EndNoteBibliographyTitle"/>
    <w:qFormat/>
    <w:rsid w:val="00ae6643"/>
    <w:rPr>
      <w:rFonts w:ascii="Times New Roman" w:hAnsi="Times New Roman" w:eastAsia="Calibri" w:cs="Times New Roman" w:eastAsiaTheme="minorHAnsi"/>
      <w:kern w:val="2"/>
      <w:sz w:val="24"/>
      <w:lang w:eastAsia="en-US"/>
      <w14:ligatures w14:val="standardContextual"/>
    </w:rPr>
  </w:style>
  <w:style w:type="character" w:styleId="EndNoteBibliographyChar" w:customStyle="1">
    <w:name w:val="EndNote Bibliography Char"/>
    <w:basedOn w:val="NoSpacingChar"/>
    <w:link w:val="EndNoteBibliography"/>
    <w:qFormat/>
    <w:rsid w:val="00ae6643"/>
    <w:rPr>
      <w:rFonts w:ascii="Times New Roman" w:hAnsi="Times New Roman" w:eastAsia="Calibri" w:cs="Times New Roman" w:eastAsiaTheme="minorHAnsi"/>
      <w:kern w:val="2"/>
      <w:sz w:val="24"/>
      <w:lang w:eastAsia="en-US"/>
      <w14:ligatures w14:val="standardContextual"/>
    </w:rPr>
  </w:style>
  <w:style w:type="character" w:styleId="UnresolvedMention3" w:customStyle="1">
    <w:name w:val="Unresolved Mention3"/>
    <w:basedOn w:val="DefaultParagraphFont"/>
    <w:uiPriority w:val="99"/>
    <w:semiHidden/>
    <w:unhideWhenUsed/>
    <w:qFormat/>
    <w:rsid w:val="00ae6643"/>
    <w:rPr>
      <w:color w:val="605E5C"/>
      <w:shd w:fill="E1DFDD" w:val="clear"/>
    </w:rPr>
  </w:style>
  <w:style w:type="character" w:styleId="UnresolvedMention4" w:customStyle="1">
    <w:name w:val="Unresolved Mention4"/>
    <w:basedOn w:val="DefaultParagraphFont"/>
    <w:uiPriority w:val="99"/>
    <w:semiHidden/>
    <w:unhideWhenUsed/>
    <w:qFormat/>
    <w:rsid w:val="00ae6643"/>
    <w:rPr>
      <w:color w:val="605E5C"/>
      <w:shd w:fill="E1DFDD" w:val="clear"/>
    </w:rPr>
  </w:style>
  <w:style w:type="character" w:styleId="UnresolvedMention5" w:customStyle="1">
    <w:name w:val="Unresolved Mention5"/>
    <w:basedOn w:val="DefaultParagraphFont"/>
    <w:uiPriority w:val="99"/>
    <w:semiHidden/>
    <w:unhideWhenUsed/>
    <w:qFormat/>
    <w:rsid w:val="00ae6643"/>
    <w:rPr>
      <w:color w:val="605E5C"/>
      <w:shd w:fill="E1DFDD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ae6643"/>
    <w:rPr>
      <w:color w:val="605E5C"/>
      <w:shd w:fill="E1DFDD" w:val="clear"/>
    </w:rPr>
  </w:style>
  <w:style w:type="character" w:styleId="Bullets">
    <w:name w:val="Bullets"/>
    <w:qFormat/>
    <w:rPr>
      <w:rFonts w:ascii="OpenSymbol" w:hAnsi="OpenSymbol" w:eastAsia="OpenSymbol" w:cs="OpenSymbol"/>
      <w:color w:val="0E0D0D"/>
    </w:rPr>
  </w:style>
  <w:style w:type="character" w:styleId="NumberingSymbols">
    <w:name w:val="Numbering Symbols"/>
    <w:qFormat/>
    <w:rPr>
      <w:color w:val="0E0D0D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Spacing">
    <w:name w:val="No Spacing"/>
    <w:link w:val="NoSpacingChar"/>
    <w:uiPriority w:val="1"/>
    <w:qFormat/>
    <w:rsid w:val="00ae6643"/>
    <w:pPr>
      <w:widowControl/>
      <w:bidi w:val="0"/>
      <w:spacing w:lineRule="auto" w:line="240"/>
      <w:jc w:val="left"/>
    </w:pPr>
    <w:rPr>
      <w:rFonts w:eastAsia="Calibri" w:eastAsiaTheme="minorHAnsi" w:ascii="Calibri" w:hAnsi="Calibri" w:cs=""/>
      <w:color w:val="auto"/>
      <w:kern w:val="2"/>
      <w:sz w:val="22"/>
      <w:szCs w:val="22"/>
      <w:lang w:eastAsia="en-US" w:val="en-US" w:bidi="ar-SA"/>
      <w14:ligatures w14:val="standardContextual"/>
    </w:rPr>
  </w:style>
  <w:style w:type="paragraph" w:styleId="ListParagraph">
    <w:name w:val="List Paragraph"/>
    <w:basedOn w:val="Normal"/>
    <w:uiPriority w:val="34"/>
    <w:qFormat/>
    <w:rsid w:val="00ae6643"/>
    <w:pPr>
      <w:spacing w:before="0" w:after="160"/>
      <w:ind w:left="720" w:hanging="0"/>
      <w:contextualSpacing/>
    </w:pPr>
    <w:rPr>
      <w:rFonts w:eastAsia="等线" w:eastAsiaTheme="minorEastAsia"/>
      <w:kern w:val="0"/>
      <w:lang w:eastAsia="zh-CN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e6643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>
      <w:rFonts w:eastAsia="等线" w:eastAsiaTheme="minorEastAsia"/>
      <w:kern w:val="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e6643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>
      <w:rFonts w:eastAsia="等线" w:eastAsiaTheme="minorEastAsia"/>
      <w:kern w:val="0"/>
      <w:lang w:eastAsia="zh-CN"/>
    </w:rPr>
  </w:style>
  <w:style w:type="paragraph" w:styleId="Annotationtext">
    <w:name w:val="annotation text"/>
    <w:basedOn w:val="Normal"/>
    <w:link w:val="CommentTextChar"/>
    <w:uiPriority w:val="99"/>
    <w:unhideWhenUsed/>
    <w:qFormat/>
    <w:rsid w:val="00ae6643"/>
    <w:pPr>
      <w:spacing w:lineRule="auto" w:line="240"/>
    </w:pPr>
    <w:rPr>
      <w:rFonts w:eastAsia="等线" w:eastAsiaTheme="minorEastAsia"/>
      <w:kern w:val="0"/>
      <w:sz w:val="20"/>
      <w:szCs w:val="20"/>
      <w:lang w:eastAsia="zh-CN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ae6643"/>
    <w:pPr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e6643"/>
    <w:pPr>
      <w:spacing w:lineRule="auto" w:line="240" w:before="0" w:after="0"/>
    </w:pPr>
    <w:rPr>
      <w:rFonts w:ascii="Segoe UI" w:hAnsi="Segoe UI" w:eastAsia="等线" w:cs="Segoe UI" w:eastAsiaTheme="minorEastAsia"/>
      <w:kern w:val="0"/>
      <w:sz w:val="18"/>
      <w:szCs w:val="18"/>
      <w:lang w:eastAsia="zh-CN"/>
    </w:rPr>
  </w:style>
  <w:style w:type="paragraph" w:styleId="Revision">
    <w:name w:val="Revision"/>
    <w:uiPriority w:val="99"/>
    <w:semiHidden/>
    <w:qFormat/>
    <w:rsid w:val="00ae6643"/>
    <w:pPr>
      <w:widowControl/>
      <w:bidi w:val="0"/>
      <w:spacing w:lineRule="auto" w:line="240"/>
      <w:jc w:val="left"/>
    </w:pPr>
    <w:rPr>
      <w:rFonts w:ascii="Calibri" w:hAnsi="Calibri" w:eastAsia="等线" w:cs=""/>
      <w:color w:val="auto"/>
      <w:kern w:val="0"/>
      <w:sz w:val="22"/>
      <w:szCs w:val="22"/>
      <w:lang w:val="en-US" w:eastAsia="zh-CN" w:bidi="ar-SA"/>
      <w14:ligatures w14:val="standardContextual"/>
    </w:rPr>
  </w:style>
  <w:style w:type="paragraph" w:styleId="EndNoteBibliographyTitle" w:customStyle="1">
    <w:name w:val="EndNote Bibliography Title"/>
    <w:basedOn w:val="Normal"/>
    <w:link w:val="EndNoteBibliographyTitleChar"/>
    <w:qFormat/>
    <w:rsid w:val="00ae6643"/>
    <w:pPr>
      <w:spacing w:before="0" w:after="0"/>
      <w:jc w:val="center"/>
    </w:pPr>
    <w:rPr>
      <w:rFonts w:ascii="Times New Roman" w:hAnsi="Times New Roman" w:cs="Times New Roman"/>
      <w:sz w:val="24"/>
    </w:rPr>
  </w:style>
  <w:style w:type="paragraph" w:styleId="EndNoteBibliography" w:customStyle="1">
    <w:name w:val="EndNote Bibliography"/>
    <w:basedOn w:val="Normal"/>
    <w:link w:val="EndNoteBibliographyChar"/>
    <w:qFormat/>
    <w:rsid w:val="00ae6643"/>
    <w:pPr>
      <w:spacing w:lineRule="auto" w:line="240"/>
      <w:jc w:val="both"/>
    </w:pPr>
    <w:rPr>
      <w:rFonts w:ascii="Times New Roman" w:hAnsi="Times New Roman" w:cs="Times New Roman"/>
      <w:sz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ae6643"/>
    <w:pPr>
      <w:spacing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styleId="TableGrid">
    <w:name w:val="Table Grid"/>
    <w:basedOn w:val="TableNormal"/>
    <w:uiPriority w:val="39"/>
    <w:rsid w:val="00ae6643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Style1">
    <w:name w:val="Style1"/>
    <w:basedOn w:val="TableNormal"/>
    <w:uiPriority w:val="99"/>
    <w:rsid w:val="00ae6643"/>
    <w:pPr>
      <w:spacing w:line="240" w:lineRule="auto"/>
    </w:pPr>
    <w:rPr>
      <w:rFonts w:eastAsiaTheme="minorHAnsi"/>
      <w:lang w:eastAsia="en-US"/>
      <w:color w:val="FFFFFF" w:themeColor="background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oter" Target="footer1.xm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footer" Target="footer2.xml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footer" Target="footer3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LibreOffice/6.3.3.2$Windows_X86_64 LibreOffice_project/a64200df03143b798afd1ec74a12ab50359878ed</Application>
  <Pages>7</Pages>
  <Words>432</Words>
  <Characters>2388</Characters>
  <CharactersWithSpaces>2718</CharactersWithSpaces>
  <Paragraphs>112</Paragraphs>
  <Company>UC San Diego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2023-07-03T21:35:00Z</dcterms:created>
  <dc:creator>Yuyan Shi</dc:creator>
  <dc:description/>
  <dc:language>en-IN</dc:language>
  <cp:lastModifiedBy/>
  <dcterms:modified xsi:type="dcterms:W3CDTF">2024-09-03T23:49:54Z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UC San Diego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