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2C" w:rsidRPr="008F1652" w:rsidRDefault="00F86D2C" w:rsidP="00F86D2C">
      <w:pPr>
        <w:autoSpaceDE w:val="0"/>
        <w:jc w:val="left"/>
        <w:rPr>
          <w:rFonts w:eastAsia="AdvOTa9103878"/>
          <w:b/>
          <w:noProof/>
          <w:color w:val="000000" w:themeColor="text1"/>
          <w:szCs w:val="20"/>
        </w:rPr>
      </w:pPr>
      <w:r w:rsidRPr="008F1652">
        <w:rPr>
          <w:rFonts w:eastAsia="AdvOTa9103878"/>
          <w:b/>
          <w:noProof/>
          <w:color w:val="000000" w:themeColor="text1"/>
          <w:szCs w:val="20"/>
        </w:rPr>
        <w:t>Supplementary material</w:t>
      </w:r>
      <w:bookmarkStart w:id="0" w:name="_GoBack"/>
      <w:bookmarkEnd w:id="0"/>
    </w:p>
    <w:p w:rsidR="00F86D2C" w:rsidRPr="007F73CD" w:rsidRDefault="00F86D2C" w:rsidP="00F86D2C">
      <w:pPr>
        <w:pStyle w:val="Lgende"/>
        <w:keepNext/>
        <w:rPr>
          <w:i w:val="0"/>
          <w:noProof/>
          <w:color w:val="000000" w:themeColor="text1"/>
          <w:sz w:val="24"/>
          <w:szCs w:val="24"/>
        </w:rPr>
      </w:pPr>
      <w:bookmarkStart w:id="1" w:name="_Ref107729800"/>
      <w:r w:rsidRPr="007F73CD">
        <w:rPr>
          <w:b/>
          <w:i w:val="0"/>
          <w:noProof/>
          <w:color w:val="000000" w:themeColor="text1"/>
          <w:sz w:val="24"/>
          <w:szCs w:val="24"/>
        </w:rPr>
        <w:t>Table S</w:t>
      </w:r>
      <w:r w:rsidRPr="007F73CD">
        <w:rPr>
          <w:b/>
          <w:i w:val="0"/>
          <w:noProof/>
          <w:color w:val="000000" w:themeColor="text1"/>
          <w:sz w:val="24"/>
          <w:szCs w:val="24"/>
        </w:rPr>
        <w:fldChar w:fldCharType="begin"/>
      </w:r>
      <w:r w:rsidRPr="007F73CD">
        <w:rPr>
          <w:b/>
          <w:i w:val="0"/>
          <w:noProof/>
          <w:color w:val="000000" w:themeColor="text1"/>
          <w:sz w:val="24"/>
          <w:szCs w:val="24"/>
        </w:rPr>
        <w:instrText xml:space="preserve"> SEQ Appendix \* ARABIC </w:instrText>
      </w:r>
      <w:r w:rsidRPr="007F73CD">
        <w:rPr>
          <w:b/>
          <w:i w:val="0"/>
          <w:noProof/>
          <w:color w:val="000000" w:themeColor="text1"/>
          <w:sz w:val="24"/>
          <w:szCs w:val="24"/>
        </w:rPr>
        <w:fldChar w:fldCharType="separate"/>
      </w:r>
      <w:r w:rsidRPr="007F73CD">
        <w:rPr>
          <w:b/>
          <w:i w:val="0"/>
          <w:noProof/>
          <w:color w:val="000000" w:themeColor="text1"/>
          <w:sz w:val="24"/>
          <w:szCs w:val="24"/>
        </w:rPr>
        <w:t>1</w:t>
      </w:r>
      <w:r w:rsidRPr="007F73CD">
        <w:rPr>
          <w:b/>
          <w:i w:val="0"/>
          <w:noProof/>
          <w:color w:val="000000" w:themeColor="text1"/>
          <w:sz w:val="24"/>
          <w:szCs w:val="24"/>
        </w:rPr>
        <w:fldChar w:fldCharType="end"/>
      </w:r>
      <w:bookmarkEnd w:id="1"/>
      <w:r w:rsidRPr="007F73CD">
        <w:rPr>
          <w:i w:val="0"/>
          <w:noProof/>
          <w:color w:val="000000" w:themeColor="text1"/>
          <w:sz w:val="24"/>
          <w:szCs w:val="24"/>
        </w:rPr>
        <w:t>. Prevalence of past-year illicit drug consumptions among cannabis users (N = 243 subjects).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F86D2C" w:rsidRPr="008F1652" w:rsidTr="006713A3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noProof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497"/>
              <w:jc w:val="center"/>
              <w:rPr>
                <w:rFonts w:eastAsia="Times New Roman"/>
                <w:b/>
                <w:noProof/>
              </w:rPr>
            </w:pPr>
            <w:r w:rsidRPr="008F1652">
              <w:rPr>
                <w:rFonts w:eastAsia="Times New Roman"/>
                <w:b/>
                <w:noProof/>
              </w:rPr>
              <w:t>N = 243</w:t>
            </w:r>
          </w:p>
        </w:tc>
      </w:tr>
      <w:tr w:rsidR="00F86D2C" w:rsidRPr="008F1652" w:rsidTr="006713A3">
        <w:tc>
          <w:tcPr>
            <w:tcW w:w="4606" w:type="dxa"/>
            <w:tcBorders>
              <w:top w:val="single" w:sz="4" w:space="0" w:color="auto"/>
            </w:tcBorders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Times New Roman"/>
                <w:b/>
                <w:noProof/>
              </w:rPr>
            </w:pPr>
            <w:r w:rsidRPr="008F1652">
              <w:rPr>
                <w:rFonts w:eastAsia="Times New Roman"/>
                <w:b/>
                <w:noProof/>
              </w:rPr>
              <w:t>Stimulants, n (%)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noProof/>
              </w:rPr>
            </w:pP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Ecstasy/MDMA*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134 (55.1)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Cocaine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110 (45.3)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Speed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18 (7.4)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Poppers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15 (6.2)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Amphetamines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5 (2.1)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GBL**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Ritaline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Ephedrine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Caffeine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Times New Roman"/>
                <w:b/>
                <w:noProof/>
              </w:rPr>
            </w:pPr>
            <w:r w:rsidRPr="008F1652">
              <w:rPr>
                <w:rFonts w:eastAsia="Times New Roman"/>
                <w:b/>
                <w:noProof/>
              </w:rPr>
              <w:t>Hallucinogens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LSD***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47 (19.3)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Mushrooms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32 (13.2)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Ketamine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28 (11.5)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Salvia divinorum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Mescaline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Times New Roman"/>
                <w:b/>
                <w:noProof/>
              </w:rPr>
            </w:pPr>
            <w:r w:rsidRPr="008F1652">
              <w:rPr>
                <w:rFonts w:eastAsia="Times New Roman"/>
                <w:b/>
                <w:noProof/>
              </w:rPr>
              <w:t>New Psychoactive Substances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DMT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3 (1.2)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Mephedrone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3 (1.2)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U47700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Methoxetamine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Synthetic cannabinoid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2C-B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5-APB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Ethylphenidate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25C-NBOME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25I-NBOME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2C-E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lastRenderedPageBreak/>
              <w:t>2C-P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Methylone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Times New Roman"/>
                <w:b/>
                <w:noProof/>
              </w:rPr>
            </w:pPr>
            <w:r w:rsidRPr="008F1652">
              <w:rPr>
                <w:rFonts w:eastAsia="Times New Roman"/>
                <w:b/>
                <w:noProof/>
              </w:rPr>
              <w:t>Sedatives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Opium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5 (2.1)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Heroin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Nitrous oxide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Tramadol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Valium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2 (0.8)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Methadone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Codeine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1 (0.4)</w:t>
            </w:r>
          </w:p>
        </w:tc>
      </w:tr>
      <w:tr w:rsidR="00F86D2C" w:rsidRPr="008F1652" w:rsidTr="006713A3">
        <w:tc>
          <w:tcPr>
            <w:tcW w:w="4606" w:type="dxa"/>
          </w:tcPr>
          <w:p w:rsidR="00F86D2C" w:rsidRPr="008F1652" w:rsidRDefault="00F86D2C" w:rsidP="006713A3">
            <w:pPr>
              <w:widowControl w:val="0"/>
              <w:suppressAutoHyphens w:val="0"/>
              <w:autoSpaceDE w:val="0"/>
              <w:autoSpaceDN w:val="0"/>
              <w:spacing w:after="0"/>
              <w:ind w:firstLine="142"/>
              <w:rPr>
                <w:rFonts w:eastAsia="Times New Roman"/>
                <w:noProof/>
              </w:rPr>
            </w:pPr>
            <w:r w:rsidRPr="008F1652">
              <w:rPr>
                <w:rFonts w:eastAsia="Times New Roman"/>
                <w:noProof/>
              </w:rPr>
              <w:t>Skenan</w:t>
            </w:r>
          </w:p>
        </w:tc>
        <w:tc>
          <w:tcPr>
            <w:tcW w:w="4606" w:type="dxa"/>
          </w:tcPr>
          <w:p w:rsidR="00F86D2C" w:rsidRPr="008F1652" w:rsidRDefault="00F86D2C" w:rsidP="006713A3">
            <w:pPr>
              <w:keepNext/>
              <w:widowControl w:val="0"/>
              <w:suppressAutoHyphens w:val="0"/>
              <w:autoSpaceDE w:val="0"/>
              <w:autoSpaceDN w:val="0"/>
              <w:spacing w:before="6" w:after="0" w:line="229" w:lineRule="exact"/>
              <w:ind w:right="1540"/>
              <w:jc w:val="right"/>
              <w:rPr>
                <w:rFonts w:eastAsia="Times New Roman"/>
              </w:rPr>
            </w:pPr>
            <w:r w:rsidRPr="008F1652">
              <w:rPr>
                <w:rFonts w:eastAsia="Times New Roman"/>
              </w:rPr>
              <w:t>1 (0.4)</w:t>
            </w:r>
          </w:p>
        </w:tc>
      </w:tr>
    </w:tbl>
    <w:p w:rsidR="00F86D2C" w:rsidRPr="008F1652" w:rsidRDefault="00F86D2C" w:rsidP="00F86D2C">
      <w:pPr>
        <w:rPr>
          <w:rFonts w:ascii="Arial" w:eastAsia="Times New Roman" w:hAnsi="Arial" w:cs="Arial"/>
          <w:i/>
          <w:noProof/>
          <w:color w:val="1A0DAB"/>
          <w:kern w:val="0"/>
          <w:u w:val="single"/>
          <w:shd w:val="clear" w:color="auto" w:fill="FFFFFF"/>
          <w:lang w:eastAsia="fr-FR"/>
        </w:rPr>
      </w:pPr>
      <w:r w:rsidRPr="008F1652">
        <w:rPr>
          <w:rFonts w:ascii="AdvOTa9103878" w:eastAsia="AdvOTa9103878" w:hAnsi="AdvOTa9103878" w:cs="AdvOTa9103878"/>
          <w:i/>
          <w:noProof/>
          <w:sz w:val="20"/>
          <w:szCs w:val="20"/>
        </w:rPr>
        <w:t>*MDMA: Methylenedioxymethamphetamine, **</w:t>
      </w:r>
      <w:r w:rsidRPr="008F1652">
        <w:rPr>
          <w:rFonts w:ascii="AdvOTa9103878" w:eastAsia="AdvOTa9103878" w:hAnsi="AdvOTa9103878" w:cs="AdvOTa9103878"/>
          <w:i/>
          <w:noProof/>
          <w:color w:val="000000" w:themeColor="text1"/>
          <w:sz w:val="20"/>
          <w:szCs w:val="20"/>
        </w:rPr>
        <w:t>GBL: gamma-butyrolactone</w:t>
      </w:r>
      <w:r w:rsidRPr="008F1652">
        <w:rPr>
          <w:rFonts w:ascii="AdvOTa9103878" w:eastAsia="AdvOTa9103878" w:hAnsi="AdvOTa9103878" w:cs="AdvOTa9103878"/>
          <w:i/>
          <w:noProof/>
          <w:sz w:val="20"/>
          <w:szCs w:val="20"/>
        </w:rPr>
        <w:t xml:space="preserve">, ***LSD: </w:t>
      </w:r>
      <w:r w:rsidRPr="008F1652">
        <w:rPr>
          <w:rFonts w:eastAsia="Times New Roman"/>
          <w:i/>
          <w:noProof/>
          <w:kern w:val="0"/>
          <w:lang w:eastAsia="fr-FR"/>
        </w:rPr>
        <w:fldChar w:fldCharType="begin"/>
      </w:r>
      <w:r w:rsidRPr="008F1652">
        <w:rPr>
          <w:rFonts w:eastAsia="Times New Roman"/>
          <w:i/>
          <w:noProof/>
          <w:kern w:val="0"/>
          <w:lang w:eastAsia="fr-FR"/>
        </w:rPr>
        <w:instrText xml:space="preserve"> HYPERLINK "https://en.wikipedia.org/wiki/Lysergic_acid_diethylamide" </w:instrText>
      </w:r>
      <w:r w:rsidRPr="008F1652">
        <w:rPr>
          <w:rFonts w:eastAsia="Times New Roman"/>
          <w:i/>
          <w:noProof/>
          <w:kern w:val="0"/>
          <w:lang w:eastAsia="fr-FR"/>
        </w:rPr>
        <w:fldChar w:fldCharType="separate"/>
      </w:r>
      <w:r w:rsidRPr="008F1652">
        <w:rPr>
          <w:rFonts w:ascii="AdvOTa9103878" w:eastAsia="AdvOTa9103878" w:hAnsi="AdvOTa9103878" w:cs="AdvOTa9103878"/>
          <w:i/>
          <w:noProof/>
          <w:sz w:val="20"/>
          <w:szCs w:val="20"/>
        </w:rPr>
        <w:t>Lysergicaciddiethylamide</w:t>
      </w:r>
    </w:p>
    <w:p w:rsidR="00F86D2C" w:rsidRPr="007A44E8" w:rsidRDefault="00F86D2C" w:rsidP="00F86D2C">
      <w:pPr>
        <w:pStyle w:val="Lgende"/>
        <w:rPr>
          <w:rFonts w:ascii="AdvOTa9103878" w:eastAsia="AdvOTa9103878" w:hAnsi="AdvOTa9103878" w:cs="AdvOTa9103878"/>
          <w:sz w:val="20"/>
          <w:szCs w:val="20"/>
        </w:rPr>
      </w:pPr>
      <w:r w:rsidRPr="008F1652">
        <w:rPr>
          <w:rFonts w:eastAsia="Times New Roman"/>
          <w:iCs w:val="0"/>
          <w:noProof/>
          <w:color w:val="auto"/>
          <w:kern w:val="0"/>
          <w:sz w:val="24"/>
          <w:szCs w:val="24"/>
          <w:lang w:eastAsia="fr-FR"/>
        </w:rPr>
        <w:fldChar w:fldCharType="end"/>
      </w:r>
    </w:p>
    <w:p w:rsidR="00F86D2C" w:rsidRPr="007A44E8" w:rsidRDefault="00F86D2C" w:rsidP="00F86D2C">
      <w:pPr>
        <w:autoSpaceDE w:val="0"/>
        <w:jc w:val="left"/>
        <w:rPr>
          <w:rFonts w:ascii="AdvOTa9103878" w:eastAsia="AdvOTa9103878" w:hAnsi="AdvOTa9103878" w:cs="AdvOTa9103878"/>
          <w:sz w:val="20"/>
          <w:szCs w:val="20"/>
        </w:rPr>
      </w:pPr>
    </w:p>
    <w:p w:rsidR="0086715B" w:rsidRDefault="0086715B"/>
    <w:sectPr w:rsidR="0086715B" w:rsidSect="009260B6">
      <w:footerReference w:type="default" r:id="rId4"/>
      <w:pgSz w:w="11906" w:h="16838"/>
      <w:pgMar w:top="1417" w:right="1417" w:bottom="1417" w:left="1417" w:header="0" w:footer="72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a9103878">
    <w:altName w:val="Times New Roman"/>
    <w:charset w:val="01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785586"/>
      <w:docPartObj>
        <w:docPartGallery w:val="Page Numbers (Bottom of Page)"/>
        <w:docPartUnique/>
      </w:docPartObj>
    </w:sdtPr>
    <w:sdtEndPr/>
    <w:sdtContent>
      <w:p w:rsidR="00D52C99" w:rsidRPr="007A44E8" w:rsidRDefault="00F86D2C">
        <w:pPr>
          <w:pStyle w:val="Pieddepage"/>
          <w:jc w:val="right"/>
        </w:pPr>
        <w:r w:rsidRPr="007A44E8">
          <w:fldChar w:fldCharType="begin"/>
        </w:r>
        <w:r w:rsidRPr="007A44E8">
          <w:instrText xml:space="preserve">PAGE   \* </w:instrText>
        </w:r>
        <w:r w:rsidRPr="007A44E8">
          <w:instrText>MERGEFORMAT</w:instrText>
        </w:r>
        <w:r w:rsidRPr="007A44E8">
          <w:fldChar w:fldCharType="separate"/>
        </w:r>
        <w:r>
          <w:rPr>
            <w:noProof/>
          </w:rPr>
          <w:t>2</w:t>
        </w:r>
        <w:r w:rsidRPr="007A44E8">
          <w:rPr>
            <w:noProof/>
          </w:rPr>
          <w:fldChar w:fldCharType="end"/>
        </w:r>
      </w:p>
    </w:sdtContent>
  </w:sdt>
  <w:p w:rsidR="00D52C99" w:rsidRPr="007A44E8" w:rsidRDefault="00F86D2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2C"/>
    <w:rsid w:val="0086715B"/>
    <w:rsid w:val="00F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2BB97-40FD-4DBF-86E1-4E10F080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2C"/>
    <w:pPr>
      <w:suppressAutoHyphens/>
      <w:spacing w:after="200" w:line="360" w:lineRule="auto"/>
      <w:jc w:val="both"/>
    </w:pPr>
    <w:rPr>
      <w:rFonts w:ascii="Times New Roman" w:eastAsia="Calibri" w:hAnsi="Times New Roman" w:cs="Times New Roman"/>
      <w:kern w:val="2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F86D2C"/>
    <w:pPr>
      <w:spacing w:line="240" w:lineRule="auto"/>
    </w:pPr>
    <w:rPr>
      <w:i/>
      <w:iCs/>
      <w:color w:val="44546A"/>
      <w:sz w:val="18"/>
      <w:szCs w:val="18"/>
    </w:rPr>
  </w:style>
  <w:style w:type="paragraph" w:styleId="Pieddepage">
    <w:name w:val="footer"/>
    <w:basedOn w:val="Normal"/>
    <w:link w:val="PieddepageCar"/>
    <w:uiPriority w:val="99"/>
    <w:qFormat/>
    <w:rsid w:val="00F86D2C"/>
    <w:pPr>
      <w:suppressLineNumbers/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6D2C"/>
    <w:rPr>
      <w:rFonts w:ascii="Times New Roman" w:eastAsia="Calibri" w:hAnsi="Times New Roman" w:cs="Times New Roman"/>
      <w:kern w:val="2"/>
      <w:sz w:val="24"/>
      <w:szCs w:val="24"/>
      <w:lang w:val="en-GB"/>
    </w:rPr>
  </w:style>
  <w:style w:type="table" w:styleId="Grilledutableau">
    <w:name w:val="Table Grid"/>
    <w:basedOn w:val="TableauNormal"/>
    <w:uiPriority w:val="59"/>
    <w:rsid w:val="00F86D2C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ROUSSELET Morgane</dc:creator>
  <cp:keywords/>
  <dc:description/>
  <cp:lastModifiedBy>ROUSSELET Morgane</cp:lastModifiedBy>
  <cp:revision>1</cp:revision>
  <dcterms:created xsi:type="dcterms:W3CDTF">2023-05-26T08:48:00Z</dcterms:created>
  <dcterms:modified xsi:type="dcterms:W3CDTF">2023-05-26T08:49:00Z</dcterms:modified>
</cp:coreProperties>
</file>