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12BF" w14:textId="2DF6073D" w:rsidR="00435AFB" w:rsidRPr="00435AFB" w:rsidRDefault="00435AFB" w:rsidP="00435AFB">
      <w:pPr>
        <w:widowControl w:val="0"/>
        <w:autoSpaceDE w:val="0"/>
        <w:autoSpaceDN w:val="0"/>
        <w:adjustRightInd w:val="0"/>
        <w:spacing w:line="360" w:lineRule="auto"/>
        <w:ind w:left="720" w:hanging="360"/>
        <w:jc w:val="both"/>
        <w:rPr>
          <w:rFonts w:ascii="Palatino Linotype" w:hAnsi="Palatino Linotype"/>
          <w:sz w:val="20"/>
          <w:szCs w:val="20"/>
        </w:rPr>
      </w:pPr>
      <w:r w:rsidRPr="00301432">
        <w:rPr>
          <w:rFonts w:ascii="Palatino Linotype" w:hAnsi="Palatino Linotype"/>
          <w:b/>
          <w:bCs/>
          <w:sz w:val="20"/>
          <w:szCs w:val="20"/>
        </w:rPr>
        <w:t>Supplementary S1</w:t>
      </w:r>
      <w:r>
        <w:rPr>
          <w:rFonts w:ascii="Palatino Linotype" w:hAnsi="Palatino Linotype"/>
          <w:b/>
          <w:bCs/>
          <w:sz w:val="20"/>
          <w:szCs w:val="20"/>
        </w:rPr>
        <w:t xml:space="preserve">. </w:t>
      </w:r>
      <w:r w:rsidRPr="00435AFB">
        <w:rPr>
          <w:rFonts w:ascii="Palatino Linotype" w:hAnsi="Palatino Linotype"/>
          <w:sz w:val="20"/>
          <w:szCs w:val="20"/>
        </w:rPr>
        <w:t>Selected documents</w:t>
      </w:r>
      <w:r>
        <w:rPr>
          <w:rFonts w:ascii="Palatino Linotype" w:hAnsi="Palatino Linotype"/>
          <w:sz w:val="20"/>
          <w:szCs w:val="20"/>
        </w:rPr>
        <w:t xml:space="preserve"> for in-depth analysis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21"/>
        <w:gridCol w:w="2009"/>
        <w:gridCol w:w="1373"/>
        <w:gridCol w:w="2408"/>
        <w:gridCol w:w="2340"/>
      </w:tblGrid>
      <w:tr w:rsidR="00956C1D" w:rsidRPr="00C126D0" w14:paraId="2F204534" w14:textId="77777777" w:rsidTr="00435AFB">
        <w:trPr>
          <w:trHeight w:val="323"/>
        </w:trPr>
        <w:tc>
          <w:tcPr>
            <w:tcW w:w="534" w:type="dxa"/>
          </w:tcPr>
          <w:p w14:paraId="70782F1F" w14:textId="789874DD" w:rsidR="00956C1D" w:rsidRPr="00C126D0" w:rsidRDefault="00956C1D" w:rsidP="005F6415">
            <w:pPr>
              <w:spacing w:after="0"/>
              <w:rPr>
                <w:rFonts w:cstheme="minorHAnsi"/>
                <w:sz w:val="20"/>
                <w:szCs w:val="20"/>
              </w:rPr>
            </w:pPr>
            <w:proofErr w:type="spellStart"/>
            <w:r w:rsidRPr="00C126D0">
              <w:rPr>
                <w:rFonts w:cstheme="minorHAnsi"/>
                <w:sz w:val="20"/>
                <w:szCs w:val="20"/>
              </w:rPr>
              <w:t>Sl</w:t>
            </w:r>
            <w:proofErr w:type="spellEnd"/>
          </w:p>
        </w:tc>
        <w:tc>
          <w:tcPr>
            <w:tcW w:w="1321" w:type="dxa"/>
            <w:hideMark/>
          </w:tcPr>
          <w:p w14:paraId="2A9E2F0F" w14:textId="139FB1E4" w:rsidR="00956C1D" w:rsidRPr="00C126D0" w:rsidRDefault="00956C1D" w:rsidP="005F6415">
            <w:pPr>
              <w:spacing w:after="0"/>
              <w:rPr>
                <w:rFonts w:cstheme="minorHAnsi"/>
                <w:sz w:val="20"/>
                <w:szCs w:val="20"/>
              </w:rPr>
            </w:pPr>
            <w:r w:rsidRPr="00C126D0">
              <w:rPr>
                <w:rFonts w:cstheme="minorHAnsi"/>
                <w:sz w:val="20"/>
                <w:szCs w:val="20"/>
              </w:rPr>
              <w:t>Author(s)</w:t>
            </w:r>
          </w:p>
        </w:tc>
        <w:tc>
          <w:tcPr>
            <w:tcW w:w="2009" w:type="dxa"/>
            <w:hideMark/>
          </w:tcPr>
          <w:p w14:paraId="7B6C98DB" w14:textId="77777777" w:rsidR="00956C1D" w:rsidRPr="00C126D0" w:rsidRDefault="00956C1D" w:rsidP="005F6415">
            <w:pPr>
              <w:spacing w:after="0"/>
              <w:rPr>
                <w:rFonts w:cstheme="minorHAnsi"/>
                <w:sz w:val="20"/>
                <w:szCs w:val="20"/>
              </w:rPr>
            </w:pPr>
            <w:r w:rsidRPr="00C126D0">
              <w:rPr>
                <w:rFonts w:cstheme="minorHAnsi"/>
                <w:sz w:val="20"/>
                <w:szCs w:val="20"/>
              </w:rPr>
              <w:t>Objective</w:t>
            </w:r>
          </w:p>
        </w:tc>
        <w:tc>
          <w:tcPr>
            <w:tcW w:w="1373" w:type="dxa"/>
            <w:hideMark/>
          </w:tcPr>
          <w:p w14:paraId="10310425" w14:textId="77777777" w:rsidR="00956C1D" w:rsidRPr="00C126D0" w:rsidRDefault="00956C1D" w:rsidP="005F6415">
            <w:pPr>
              <w:spacing w:after="0"/>
              <w:rPr>
                <w:rFonts w:cstheme="minorHAnsi"/>
                <w:sz w:val="20"/>
                <w:szCs w:val="20"/>
              </w:rPr>
            </w:pPr>
            <w:r w:rsidRPr="00C126D0">
              <w:rPr>
                <w:rFonts w:cstheme="minorHAnsi"/>
                <w:sz w:val="20"/>
                <w:szCs w:val="20"/>
              </w:rPr>
              <w:t>Methodology</w:t>
            </w:r>
          </w:p>
        </w:tc>
        <w:tc>
          <w:tcPr>
            <w:tcW w:w="2408" w:type="dxa"/>
            <w:hideMark/>
          </w:tcPr>
          <w:p w14:paraId="4378B936" w14:textId="03B9BB78" w:rsidR="00956C1D" w:rsidRPr="00C126D0" w:rsidRDefault="00956C1D" w:rsidP="005F6415">
            <w:pPr>
              <w:spacing w:after="0"/>
              <w:rPr>
                <w:rFonts w:cstheme="minorHAnsi"/>
                <w:sz w:val="20"/>
                <w:szCs w:val="20"/>
              </w:rPr>
            </w:pPr>
            <w:r w:rsidRPr="00C126D0">
              <w:rPr>
                <w:rFonts w:cstheme="minorHAnsi"/>
                <w:sz w:val="20"/>
                <w:szCs w:val="20"/>
              </w:rPr>
              <w:t>Key findings</w:t>
            </w:r>
          </w:p>
        </w:tc>
        <w:tc>
          <w:tcPr>
            <w:tcW w:w="2340" w:type="dxa"/>
            <w:hideMark/>
          </w:tcPr>
          <w:p w14:paraId="0966282F" w14:textId="77777777" w:rsidR="00956C1D" w:rsidRPr="00C126D0" w:rsidRDefault="00956C1D" w:rsidP="005F6415">
            <w:pPr>
              <w:spacing w:after="0"/>
              <w:rPr>
                <w:rFonts w:cstheme="minorHAnsi"/>
                <w:sz w:val="20"/>
                <w:szCs w:val="20"/>
              </w:rPr>
            </w:pPr>
            <w:r w:rsidRPr="00C126D0">
              <w:rPr>
                <w:rFonts w:cstheme="minorHAnsi"/>
                <w:sz w:val="20"/>
                <w:szCs w:val="20"/>
              </w:rPr>
              <w:t>Implications</w:t>
            </w:r>
          </w:p>
        </w:tc>
      </w:tr>
      <w:tr w:rsidR="00956C1D" w:rsidRPr="00C126D0" w14:paraId="300A9B1E" w14:textId="77777777" w:rsidTr="00956C1D">
        <w:trPr>
          <w:trHeight w:val="1205"/>
        </w:trPr>
        <w:tc>
          <w:tcPr>
            <w:tcW w:w="534" w:type="dxa"/>
          </w:tcPr>
          <w:p w14:paraId="29603B9E" w14:textId="2B974A22" w:rsidR="00956C1D" w:rsidRPr="00C126D0" w:rsidRDefault="00956C1D" w:rsidP="00630B13">
            <w:pPr>
              <w:spacing w:after="0"/>
              <w:rPr>
                <w:rFonts w:cstheme="minorHAnsi"/>
                <w:sz w:val="20"/>
                <w:szCs w:val="20"/>
              </w:rPr>
            </w:pPr>
            <w:r w:rsidRPr="00C126D0">
              <w:rPr>
                <w:rFonts w:cstheme="minorHAnsi"/>
                <w:color w:val="000000"/>
                <w:sz w:val="20"/>
                <w:szCs w:val="20"/>
              </w:rPr>
              <w:t>1</w:t>
            </w:r>
          </w:p>
        </w:tc>
        <w:tc>
          <w:tcPr>
            <w:tcW w:w="1321" w:type="dxa"/>
            <w:hideMark/>
          </w:tcPr>
          <w:p w14:paraId="040BA33A" w14:textId="0F6EC030" w:rsidR="00956C1D" w:rsidRPr="00C126D0" w:rsidRDefault="00956C1D" w:rsidP="00630B13">
            <w:pPr>
              <w:spacing w:after="0"/>
              <w:rPr>
                <w:rFonts w:cstheme="minorHAnsi"/>
                <w:sz w:val="20"/>
                <w:szCs w:val="20"/>
              </w:rPr>
            </w:pPr>
            <w:r w:rsidRPr="00C126D0">
              <w:rPr>
                <w:rFonts w:cstheme="minorHAnsi"/>
                <w:sz w:val="20"/>
                <w:szCs w:val="20"/>
              </w:rPr>
              <w:t xml:space="preserve">Klein </w:t>
            </w:r>
            <w:r>
              <w:rPr>
                <w:rFonts w:cstheme="minorHAnsi"/>
                <w:sz w:val="20"/>
                <w:szCs w:val="20"/>
              </w:rPr>
              <w:t>and</w:t>
            </w:r>
            <w:r w:rsidRPr="00C126D0">
              <w:rPr>
                <w:rFonts w:cstheme="minorHAnsi"/>
                <w:sz w:val="20"/>
                <w:szCs w:val="20"/>
              </w:rPr>
              <w:t xml:space="preserve"> Coffey </w:t>
            </w:r>
            <w:r w:rsidRPr="00C126D0">
              <w:rPr>
                <w:rFonts w:cstheme="minorHAnsi"/>
                <w:sz w:val="20"/>
                <w:szCs w:val="20"/>
              </w:rPr>
              <w:fldChar w:fldCharType="begin" w:fldLock="1"/>
            </w:r>
            <w:r w:rsidRPr="00C126D0">
              <w:rPr>
                <w:rFonts w:cstheme="minorHAnsi"/>
                <w:sz w:val="20"/>
                <w:szCs w:val="20"/>
              </w:rPr>
              <w:instrText>ADDIN CSL_CITATION {"citationItems":[{"id":"ITEM-1","itemData":{"DOI":"10.1016/j.rser.2016.01.129","ISSN":"18790690","abstract":"Solving energy issues requires integrated solutions at all societal and institutional levels. Community renewable energy and energy efficiency initiatives offer a complementary model for renewable energy deployment and have several advantages over the prevailing \"top down\" strategy employed in the US. In this paper, we present a review of the theoretical basis for community energy as a catalyst for energy behavior change; examine contrasting viewpoints of the definition of community energy; and review community energy literature. The first literature review compares energy behavior lessons from context independent individualistic and context dependent collective action theories. The review of community energy literature lists the energy option and geographical focus of more than 70 community energy studies from around the world and summarizes key lessons from this literature. In addition, we also present the data sources for a new US Community Energy Database that will be publicly available in the near future and introduce a new classification system for community renewable energy projects based on the results of this database. Finally, we present recommendations for future research in this rapidly growing field.","author":[{"dropping-particle":"","family":"Klein","given":"Sharon J.W.","non-dropping-particle":"","parse-names":false,"suffix":""},{"dropping-particle":"","family":"Coffey","given":"Stephanie","non-dropping-particle":"","parse-names":false,"suffix":""}],"container-title":"Renewable and Sustainable Energy Reviews","id":"ITEM-1","issued":{"date-parts":[["2016"]]},"page":"867-880","publisher":"Elsevier","title":"Building a sustainable energy future, one community at a time","type":"article-journal","volume":"60"},"uris":["http://www.mendeley.com/documents/?uuid=42675846-3bdc-4bb5-8075-161f3ffc39e4"]}],"mendeley":{"formattedCitation":"[1]","plainTextFormattedCitation":"[1]","previouslyFormattedCitation":"[1]"},"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w:t>
            </w:r>
            <w:r w:rsidRPr="00C126D0">
              <w:rPr>
                <w:rFonts w:cstheme="minorHAnsi"/>
                <w:sz w:val="20"/>
                <w:szCs w:val="20"/>
              </w:rPr>
              <w:fldChar w:fldCharType="end"/>
            </w:r>
          </w:p>
        </w:tc>
        <w:tc>
          <w:tcPr>
            <w:tcW w:w="2009" w:type="dxa"/>
          </w:tcPr>
          <w:p w14:paraId="7FC620B3" w14:textId="49168F7D" w:rsidR="00956C1D" w:rsidRPr="00C126D0" w:rsidRDefault="00956C1D" w:rsidP="00630B13">
            <w:pPr>
              <w:spacing w:after="0"/>
              <w:rPr>
                <w:rFonts w:cstheme="minorHAnsi"/>
                <w:sz w:val="20"/>
                <w:szCs w:val="20"/>
              </w:rPr>
            </w:pPr>
            <w:r w:rsidRPr="00C126D0">
              <w:rPr>
                <w:rFonts w:cstheme="minorHAnsi"/>
                <w:sz w:val="20"/>
                <w:szCs w:val="20"/>
              </w:rPr>
              <w:t xml:space="preserve">To review the theoretical </w:t>
            </w:r>
            <w:r w:rsidR="00232C55">
              <w:rPr>
                <w:rFonts w:cstheme="minorHAnsi"/>
                <w:sz w:val="20"/>
                <w:szCs w:val="20"/>
              </w:rPr>
              <w:t>foundation</w:t>
            </w:r>
            <w:r w:rsidRPr="00C126D0">
              <w:rPr>
                <w:rFonts w:cstheme="minorHAnsi"/>
                <w:sz w:val="20"/>
                <w:szCs w:val="20"/>
              </w:rPr>
              <w:t xml:space="preserve"> for community energy and its role in energy behavior change</w:t>
            </w:r>
            <w:r w:rsidR="009A5493">
              <w:rPr>
                <w:rFonts w:cstheme="minorHAnsi"/>
                <w:sz w:val="20"/>
                <w:szCs w:val="20"/>
              </w:rPr>
              <w:t>.</w:t>
            </w:r>
          </w:p>
        </w:tc>
        <w:tc>
          <w:tcPr>
            <w:tcW w:w="1373" w:type="dxa"/>
          </w:tcPr>
          <w:p w14:paraId="6EE17E2B" w14:textId="732ACC2F" w:rsidR="00956C1D" w:rsidRPr="00C126D0" w:rsidRDefault="00956C1D" w:rsidP="005F195C">
            <w:pPr>
              <w:spacing w:after="0"/>
              <w:rPr>
                <w:rFonts w:cstheme="minorHAnsi"/>
                <w:sz w:val="20"/>
                <w:szCs w:val="20"/>
              </w:rPr>
            </w:pPr>
            <w:r w:rsidRPr="00C126D0">
              <w:rPr>
                <w:rFonts w:cstheme="minorHAnsi"/>
                <w:sz w:val="20"/>
                <w:szCs w:val="20"/>
              </w:rPr>
              <w:t>L</w:t>
            </w:r>
            <w:r>
              <w:rPr>
                <w:rFonts w:cstheme="minorHAnsi"/>
                <w:sz w:val="20"/>
                <w:szCs w:val="20"/>
              </w:rPr>
              <w:t>i</w:t>
            </w:r>
            <w:r w:rsidRPr="00C126D0">
              <w:rPr>
                <w:rFonts w:cstheme="minorHAnsi"/>
                <w:sz w:val="20"/>
                <w:szCs w:val="20"/>
              </w:rPr>
              <w:t xml:space="preserve">terature review </w:t>
            </w:r>
            <w:r w:rsidRPr="00C126D0">
              <w:rPr>
                <w:rFonts w:cstheme="minorHAnsi"/>
                <w:sz w:val="20"/>
                <w:szCs w:val="20"/>
              </w:rPr>
              <w:t xml:space="preserve">and </w:t>
            </w:r>
            <w:r>
              <w:rPr>
                <w:rFonts w:cstheme="minorHAnsi"/>
                <w:sz w:val="20"/>
                <w:szCs w:val="20"/>
              </w:rPr>
              <w:t>survey</w:t>
            </w:r>
          </w:p>
        </w:tc>
        <w:tc>
          <w:tcPr>
            <w:tcW w:w="2408" w:type="dxa"/>
          </w:tcPr>
          <w:p w14:paraId="5BB21D4C" w14:textId="4045FA37" w:rsidR="00956C1D" w:rsidRPr="00C126D0" w:rsidRDefault="00232C55" w:rsidP="00630B13">
            <w:pPr>
              <w:spacing w:after="0"/>
              <w:rPr>
                <w:rFonts w:cstheme="minorHAnsi"/>
                <w:sz w:val="20"/>
                <w:szCs w:val="20"/>
              </w:rPr>
            </w:pPr>
            <w:r w:rsidRPr="00232C55">
              <w:rPr>
                <w:rFonts w:cstheme="minorHAnsi"/>
                <w:sz w:val="20"/>
                <w:szCs w:val="20"/>
              </w:rPr>
              <w:t>Community energy initiatives provide a supplementary framework for the implementation of renewable energy sources.</w:t>
            </w:r>
          </w:p>
        </w:tc>
        <w:tc>
          <w:tcPr>
            <w:tcW w:w="2340" w:type="dxa"/>
          </w:tcPr>
          <w:p w14:paraId="5B1AD92E" w14:textId="3C04C723" w:rsidR="00956C1D" w:rsidRPr="00C126D0" w:rsidRDefault="00232C55" w:rsidP="00630B13">
            <w:pPr>
              <w:spacing w:after="0"/>
              <w:rPr>
                <w:rFonts w:cstheme="minorHAnsi"/>
                <w:sz w:val="20"/>
                <w:szCs w:val="20"/>
              </w:rPr>
            </w:pPr>
            <w:r w:rsidRPr="00232C55">
              <w:rPr>
                <w:rFonts w:cstheme="minorHAnsi"/>
                <w:sz w:val="20"/>
                <w:szCs w:val="20"/>
              </w:rPr>
              <w:t>Subsequent investigations are suggested in the expeditiously expanding domain of community energy.</w:t>
            </w:r>
          </w:p>
        </w:tc>
      </w:tr>
      <w:tr w:rsidR="00956C1D" w:rsidRPr="00C126D0" w14:paraId="07060436" w14:textId="77777777" w:rsidTr="00956C1D">
        <w:trPr>
          <w:trHeight w:val="1226"/>
        </w:trPr>
        <w:tc>
          <w:tcPr>
            <w:tcW w:w="534" w:type="dxa"/>
          </w:tcPr>
          <w:p w14:paraId="6CED5D16" w14:textId="6603C6DA" w:rsidR="00956C1D" w:rsidRPr="00C126D0" w:rsidRDefault="00956C1D" w:rsidP="00630B13">
            <w:pPr>
              <w:spacing w:after="0"/>
              <w:rPr>
                <w:rFonts w:cstheme="minorHAnsi"/>
                <w:sz w:val="20"/>
                <w:szCs w:val="20"/>
              </w:rPr>
            </w:pPr>
            <w:r w:rsidRPr="00C126D0">
              <w:rPr>
                <w:rFonts w:cstheme="minorHAnsi"/>
                <w:color w:val="000000"/>
                <w:sz w:val="20"/>
                <w:szCs w:val="20"/>
              </w:rPr>
              <w:t>2</w:t>
            </w:r>
          </w:p>
        </w:tc>
        <w:tc>
          <w:tcPr>
            <w:tcW w:w="1321" w:type="dxa"/>
            <w:hideMark/>
          </w:tcPr>
          <w:p w14:paraId="21EDACD6" w14:textId="2BC91257" w:rsidR="00956C1D" w:rsidRPr="00C126D0" w:rsidRDefault="00956C1D" w:rsidP="00630B13">
            <w:pPr>
              <w:spacing w:after="0"/>
              <w:rPr>
                <w:rFonts w:cstheme="minorHAnsi"/>
                <w:sz w:val="20"/>
                <w:szCs w:val="20"/>
              </w:rPr>
            </w:pPr>
            <w:r w:rsidRPr="00C126D0">
              <w:rPr>
                <w:rFonts w:cstheme="minorHAnsi"/>
                <w:sz w:val="20"/>
                <w:szCs w:val="20"/>
              </w:rPr>
              <w:t xml:space="preserve">Woolf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{"citationItems":[{"id":"ITEM-1","itemData":{"DOI":"10.1016/j.ijdrr.2016.08.003","ISSN":"22124209","abstract":"This paper investigates the need for a generic technique to be applied in the assessment of resilience-related projects in slums – particularly for localised infrastructure at a community level – and proposes a novel framework tool for this purpose. The paper outlines the development of the framework tool, as well as its pilot testing on the Kenya Slum Upgrading Programme in Kibera, Nairobi. The evaluation demonstrates an improvement in asset base, capacities and external resources for the community post intervention. The lack of land tenure was identified to be a key weakness and factor which impacted resilience of the local residents.","author":[{"dropping-particle":"","family":"Woolf","given":"Simon","non-dropping-particle":"","parse-names":false,"suffix":""},{"dropping-particle":"","family":"Twigg","given":"John","non-dropping-particle":"","parse-names":false,"suffix":""},{"dropping-particle":"","family":"Parikh","given":"Priti","non-dropping-particle":"","parse-names":false,"suffix":""},{"dropping-particle":"","family":"Karaoglou","given":"Anna","non-dropping-particle":"","parse-names":false,"suffix":""},{"dropping-particle":"","family":"Cheab","given":"Tarek","non-dropping-particle":"","parse-names":false,"suffix":""}],"container-title":"International Journal of Disaster Risk Reduction","id":"ITEM-1","issued":{"date-parts":[["2016"]]},"page":"280-302","publisher":"Elsevier","title":"Towards measurable resilience: A novel framework tool for the assessment of resilience levels in slums","type":"article-journal","volume":"19"},"uris":["http://www.mendeley.com/documents/?uuid=b1d61f37-5d15-425d-8515-ee437148288a"]}],"mendeley":{"formattedCitation":"[2]","plainTextFormattedCitation":"[2]","previouslyFormattedCitation":"[2]"},"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w:t>
            </w:r>
            <w:r w:rsidRPr="00C126D0">
              <w:rPr>
                <w:rFonts w:cstheme="minorHAnsi"/>
                <w:sz w:val="20"/>
                <w:szCs w:val="20"/>
              </w:rPr>
              <w:fldChar w:fldCharType="end"/>
            </w:r>
          </w:p>
        </w:tc>
        <w:tc>
          <w:tcPr>
            <w:tcW w:w="2009" w:type="dxa"/>
          </w:tcPr>
          <w:p w14:paraId="0FFAE9D6" w14:textId="656E9A36" w:rsidR="00956C1D" w:rsidRPr="00C126D0" w:rsidRDefault="00956C1D" w:rsidP="00630B13">
            <w:pPr>
              <w:spacing w:after="0"/>
              <w:rPr>
                <w:rFonts w:cstheme="minorHAnsi"/>
                <w:sz w:val="20"/>
                <w:szCs w:val="20"/>
              </w:rPr>
            </w:pPr>
            <w:r w:rsidRPr="00C126D0">
              <w:rPr>
                <w:rFonts w:cstheme="minorHAnsi"/>
                <w:sz w:val="20"/>
                <w:szCs w:val="20"/>
              </w:rPr>
              <w:t>To develop and test a framework tool for assessing resilience in slums</w:t>
            </w:r>
          </w:p>
        </w:tc>
        <w:tc>
          <w:tcPr>
            <w:tcW w:w="1373" w:type="dxa"/>
          </w:tcPr>
          <w:p w14:paraId="27E97815" w14:textId="768771F6" w:rsidR="00956C1D" w:rsidRPr="00C126D0" w:rsidRDefault="00956C1D" w:rsidP="00630B13">
            <w:pPr>
              <w:spacing w:after="0"/>
              <w:rPr>
                <w:rFonts w:cstheme="minorHAnsi"/>
                <w:sz w:val="20"/>
                <w:szCs w:val="20"/>
              </w:rPr>
            </w:pPr>
            <w:r>
              <w:rPr>
                <w:rFonts w:cstheme="minorHAnsi"/>
                <w:sz w:val="20"/>
                <w:szCs w:val="20"/>
              </w:rPr>
              <w:t xml:space="preserve">Theoretical analysis </w:t>
            </w:r>
          </w:p>
        </w:tc>
        <w:tc>
          <w:tcPr>
            <w:tcW w:w="2408" w:type="dxa"/>
          </w:tcPr>
          <w:p w14:paraId="42B08017" w14:textId="2E425B48" w:rsidR="00956C1D" w:rsidRPr="00C126D0" w:rsidRDefault="009A5493" w:rsidP="00630B13">
            <w:pPr>
              <w:spacing w:after="0"/>
              <w:rPr>
                <w:rFonts w:cstheme="minorHAnsi"/>
                <w:sz w:val="20"/>
                <w:szCs w:val="20"/>
              </w:rPr>
            </w:pPr>
            <w:r w:rsidRPr="009A5493">
              <w:rPr>
                <w:rFonts w:cstheme="minorHAnsi"/>
                <w:sz w:val="20"/>
                <w:szCs w:val="20"/>
              </w:rPr>
              <w:t>Community assets, capacities, and external resources exhibited an enhancement subsequent to the implementation of the framework tool.</w:t>
            </w:r>
          </w:p>
        </w:tc>
        <w:tc>
          <w:tcPr>
            <w:tcW w:w="2340" w:type="dxa"/>
          </w:tcPr>
          <w:p w14:paraId="082ED09E" w14:textId="6390A796" w:rsidR="00956C1D" w:rsidRPr="00C126D0" w:rsidRDefault="00956C1D" w:rsidP="00630B13">
            <w:pPr>
              <w:spacing w:after="0"/>
              <w:rPr>
                <w:rFonts w:cstheme="minorHAnsi"/>
                <w:sz w:val="20"/>
                <w:szCs w:val="20"/>
              </w:rPr>
            </w:pPr>
            <w:r w:rsidRPr="00C126D0">
              <w:rPr>
                <w:rFonts w:cstheme="minorHAnsi"/>
                <w:sz w:val="20"/>
                <w:szCs w:val="20"/>
              </w:rPr>
              <w:t>The study provides a novel tool for assessing and improving resilience in slum communities</w:t>
            </w:r>
          </w:p>
        </w:tc>
      </w:tr>
      <w:tr w:rsidR="00956C1D" w:rsidRPr="00C126D0" w14:paraId="2D70401C" w14:textId="77777777" w:rsidTr="00956C1D">
        <w:trPr>
          <w:trHeight w:val="278"/>
        </w:trPr>
        <w:tc>
          <w:tcPr>
            <w:tcW w:w="534" w:type="dxa"/>
          </w:tcPr>
          <w:p w14:paraId="7E0AA20D" w14:textId="39F0847E" w:rsidR="00956C1D" w:rsidRPr="00C126D0" w:rsidRDefault="00956C1D" w:rsidP="00630B13">
            <w:pPr>
              <w:spacing w:after="0"/>
              <w:rPr>
                <w:rFonts w:cstheme="minorHAnsi"/>
                <w:sz w:val="20"/>
                <w:szCs w:val="20"/>
              </w:rPr>
            </w:pPr>
            <w:r w:rsidRPr="00C126D0">
              <w:rPr>
                <w:rFonts w:cstheme="minorHAnsi"/>
                <w:color w:val="000000"/>
                <w:sz w:val="20"/>
                <w:szCs w:val="20"/>
              </w:rPr>
              <w:t>3</w:t>
            </w:r>
          </w:p>
        </w:tc>
        <w:tc>
          <w:tcPr>
            <w:tcW w:w="1321" w:type="dxa"/>
            <w:hideMark/>
          </w:tcPr>
          <w:p w14:paraId="0CDC31AF" w14:textId="649E6657" w:rsidR="00956C1D" w:rsidRPr="00C126D0" w:rsidRDefault="00956C1D" w:rsidP="00630B13">
            <w:pPr>
              <w:spacing w:after="0"/>
              <w:rPr>
                <w:rFonts w:cstheme="minorHAnsi"/>
                <w:sz w:val="20"/>
                <w:szCs w:val="20"/>
              </w:rPr>
            </w:pPr>
            <w:r w:rsidRPr="00C126D0">
              <w:rPr>
                <w:rFonts w:cstheme="minorHAnsi"/>
                <w:sz w:val="20"/>
                <w:szCs w:val="20"/>
              </w:rPr>
              <w:t xml:space="preserve">Sharifi </w:t>
            </w:r>
            <w:r w:rsidRPr="00C126D0">
              <w:rPr>
                <w:rFonts w:cstheme="minorHAnsi"/>
                <w:sz w:val="20"/>
                <w:szCs w:val="20"/>
              </w:rPr>
              <w:fldChar w:fldCharType="begin" w:fldLock="1"/>
            </w:r>
            <w:r w:rsidRPr="00C126D0">
              <w:rPr>
                <w:rFonts w:cstheme="minorHAnsi"/>
                <w:sz w:val="20"/>
                <w:szCs w:val="20"/>
              </w:rPr>
              <w:instrText>ADDIN CSL_CITATION {"citationItems":[{"id":"ITEM-1","itemData":{"DOI":"10.1016/j.ecolind.2016.05.023","ISSN":"1470160X","abstract":"The concept of resilience is increasingly used in academic and policy circles. To operationalize this concept and reduce the ambiguities surrounding it, since the turn of the century, various resilience assessment methodologies have been introduced. This paper provides a critical review of 36 selected community resilience assessment tools. These tools have been developed by a variety of entities, including national and local organizations, international donor organizations, and academic researchers. First, an overview of the selected tools is presented. This overview analysis shows that while some commonalities exist, there are also considerable differences between the tools. Next, based on literature review, an analytical framework is developed that identifies six criteria for evaluating performance of resilience assessment tools. These are, namely, addressing multiple dimensions of resilience, accounting for cross-scale relationships, capturing temporal dynamism, addressing uncertainties, employing participatory approaches, and developing action plans. Results show that limited success has been achieved in addressing these criteria. In terms of comprehensiveness, the environmental dimension has received relatively less attention in spite of its significance for building community resilience. Further improvements are needed to account for dynamics over time and across space. More attention to employing iterative processes that involve scenario-based planning is needed to better address challenges associated with uncertainties. Results also show that more attention needs to be paid to stakeholder participation in developing assessment tools. The paper concludes by highlighting several other areas of weakness that need to be addressed and discussing major challenges that still remain.","author":[{"dropping-particle":"","family":"Sharifi","given":"Ayyoob","non-dropping-particle":"","parse-names":false,"suffix":""}],"container-title":"Ecological Indicators","id":"ITEM-1","issued":{"date-parts":[["2016"]]},"page":"629-647","publisher":"Elsevier Ltd","title":"A critical review of selected tools for assessing community resilience","type":"article-journal","volume":"69"},"uris":["http://www.mendeley.com/documents/?uuid=256e0581-c6ec-479a-ac75-c8c0bac7248b"]}],"mendeley":{"formattedCitation":"[3]","plainTextFormattedCitation":"[3]","previouslyFormattedCitation":"[3]"},"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w:t>
            </w:r>
            <w:r w:rsidRPr="00C126D0">
              <w:rPr>
                <w:rFonts w:cstheme="minorHAnsi"/>
                <w:sz w:val="20"/>
                <w:szCs w:val="20"/>
              </w:rPr>
              <w:fldChar w:fldCharType="end"/>
            </w:r>
          </w:p>
        </w:tc>
        <w:tc>
          <w:tcPr>
            <w:tcW w:w="2009" w:type="dxa"/>
            <w:hideMark/>
          </w:tcPr>
          <w:p w14:paraId="7902C449" w14:textId="77777777" w:rsidR="00956C1D" w:rsidRPr="00C126D0" w:rsidRDefault="00956C1D" w:rsidP="00630B13">
            <w:pPr>
              <w:spacing w:after="0"/>
              <w:rPr>
                <w:rFonts w:cstheme="minorHAnsi"/>
                <w:sz w:val="20"/>
                <w:szCs w:val="20"/>
              </w:rPr>
            </w:pPr>
            <w:r w:rsidRPr="00C126D0">
              <w:rPr>
                <w:rFonts w:cstheme="minorHAnsi"/>
                <w:sz w:val="20"/>
                <w:szCs w:val="20"/>
              </w:rPr>
              <w:t>Review tools for assessing community resilience.</w:t>
            </w:r>
          </w:p>
        </w:tc>
        <w:tc>
          <w:tcPr>
            <w:tcW w:w="1373" w:type="dxa"/>
            <w:hideMark/>
          </w:tcPr>
          <w:p w14:paraId="7A3122EC" w14:textId="77777777" w:rsidR="00956C1D" w:rsidRPr="00C126D0" w:rsidRDefault="00956C1D" w:rsidP="00630B13">
            <w:pPr>
              <w:spacing w:after="0"/>
              <w:rPr>
                <w:rFonts w:cstheme="minorHAnsi"/>
                <w:sz w:val="20"/>
                <w:szCs w:val="20"/>
              </w:rPr>
            </w:pPr>
            <w:r w:rsidRPr="00C126D0">
              <w:rPr>
                <w:rFonts w:cstheme="minorHAnsi"/>
                <w:sz w:val="20"/>
                <w:szCs w:val="20"/>
              </w:rPr>
              <w:t>Critical review</w:t>
            </w:r>
          </w:p>
        </w:tc>
        <w:tc>
          <w:tcPr>
            <w:tcW w:w="2408" w:type="dxa"/>
            <w:hideMark/>
          </w:tcPr>
          <w:p w14:paraId="4A15A20F" w14:textId="77777777" w:rsidR="00956C1D" w:rsidRPr="00C126D0" w:rsidRDefault="00956C1D" w:rsidP="00630B13">
            <w:pPr>
              <w:spacing w:after="0"/>
              <w:rPr>
                <w:rFonts w:cstheme="minorHAnsi"/>
                <w:sz w:val="20"/>
                <w:szCs w:val="20"/>
              </w:rPr>
            </w:pPr>
            <w:r w:rsidRPr="00C126D0">
              <w:rPr>
                <w:rFonts w:cstheme="minorHAnsi"/>
                <w:sz w:val="20"/>
                <w:szCs w:val="20"/>
              </w:rPr>
              <w:t>Identified gaps and limitations in current tools.</w:t>
            </w:r>
          </w:p>
        </w:tc>
        <w:tc>
          <w:tcPr>
            <w:tcW w:w="2340" w:type="dxa"/>
            <w:hideMark/>
          </w:tcPr>
          <w:p w14:paraId="3AF6E9B3" w14:textId="77777777" w:rsidR="00956C1D" w:rsidRPr="00C126D0" w:rsidRDefault="00956C1D" w:rsidP="00630B13">
            <w:pPr>
              <w:spacing w:after="0"/>
              <w:rPr>
                <w:rFonts w:cstheme="minorHAnsi"/>
                <w:sz w:val="20"/>
                <w:szCs w:val="20"/>
              </w:rPr>
            </w:pPr>
            <w:r w:rsidRPr="00C126D0">
              <w:rPr>
                <w:rFonts w:cstheme="minorHAnsi"/>
                <w:sz w:val="20"/>
                <w:szCs w:val="20"/>
              </w:rPr>
              <w:t>Calls for more comprehensive and integrated tools.</w:t>
            </w:r>
          </w:p>
        </w:tc>
      </w:tr>
      <w:tr w:rsidR="00956C1D" w:rsidRPr="00C126D0" w14:paraId="3CE74FD7" w14:textId="77777777" w:rsidTr="00956C1D">
        <w:trPr>
          <w:trHeight w:val="377"/>
        </w:trPr>
        <w:tc>
          <w:tcPr>
            <w:tcW w:w="534" w:type="dxa"/>
          </w:tcPr>
          <w:p w14:paraId="556F1291" w14:textId="5B17B3CF" w:rsidR="00956C1D" w:rsidRPr="00C126D0" w:rsidRDefault="00956C1D" w:rsidP="00630B13">
            <w:pPr>
              <w:spacing w:after="0"/>
              <w:rPr>
                <w:rFonts w:cstheme="minorHAnsi"/>
                <w:sz w:val="20"/>
                <w:szCs w:val="20"/>
              </w:rPr>
            </w:pPr>
            <w:r w:rsidRPr="00C126D0">
              <w:rPr>
                <w:rFonts w:cstheme="minorHAnsi"/>
                <w:color w:val="000000"/>
                <w:sz w:val="20"/>
                <w:szCs w:val="20"/>
              </w:rPr>
              <w:t>4</w:t>
            </w:r>
          </w:p>
        </w:tc>
        <w:tc>
          <w:tcPr>
            <w:tcW w:w="1321" w:type="dxa"/>
            <w:hideMark/>
          </w:tcPr>
          <w:p w14:paraId="465841F8" w14:textId="3FF5B997" w:rsidR="00956C1D" w:rsidRPr="00C126D0" w:rsidRDefault="00956C1D" w:rsidP="00630B13">
            <w:pPr>
              <w:spacing w:after="0"/>
              <w:rPr>
                <w:rFonts w:cstheme="minorHAnsi"/>
                <w:sz w:val="20"/>
                <w:szCs w:val="20"/>
              </w:rPr>
            </w:pPr>
            <w:r w:rsidRPr="00C126D0">
              <w:rPr>
                <w:rFonts w:cstheme="minorHAnsi"/>
                <w:sz w:val="20"/>
                <w:szCs w:val="20"/>
              </w:rPr>
              <w:t xml:space="preserve">Bischoff et al. </w:t>
            </w:r>
            <w:r w:rsidRPr="00C126D0">
              <w:rPr>
                <w:rFonts w:cstheme="minorHAnsi"/>
                <w:sz w:val="20"/>
                <w:szCs w:val="20"/>
              </w:rPr>
              <w:fldChar w:fldCharType="begin" w:fldLock="1"/>
            </w:r>
            <w:r w:rsidRPr="00C126D0">
              <w:rPr>
                <w:rFonts w:cstheme="minorHAnsi"/>
                <w:sz w:val="20"/>
                <w:szCs w:val="20"/>
              </w:rPr>
              <w:instrText>ADDIN CSL_CITATION {"citationItems":[{"id":"ITEM-1","itemData":{"DOI":"10.1111/jmft.12202","ISSN":"17520606","PMID":"27859402","abstract":"There are great disparities in mental health care around the world. Traditional approaches to mental health care have not been found to be transferrable to many parts of the world and are inadequate to address these disparities. Unconventional approaches are needed that match the traditions of care-seeking and care-giving within the communities where they are delivered. The authors review the global mental health literature and discuss how marriage and family therapists are in a particularly good position to have worldwide impact on mental health disparities. Five principles of global mental health are presented along with an example of how these principles are applied through the Reducing Mental Health Disparities One Community at a Time (RD1CT) model.","author":[{"dropping-particle":"","family":"Bischoff","given":"Richard J.","non-dropping-particle":"","parse-names":false,"suffix":""},{"dropping-particle":"","family":"Springer","given":"Paul R.","non-dropping-particle":"","parse-names":false,"suffix":""},{"dropping-particle":"","family":"Taylor","given":"Nathan","non-dropping-particle":"","parse-names":false,"suffix":""}],"container-title":"Journal of Marital and Family Therapy","id":"ITEM-1","issue":"2","issued":{"date-parts":[["2017"]]},"page":"276-290","title":"Global Mental Health in Action: Reducing Disparities One Community at a Time","type":"article-journal","volume":"43"},"uris":["http://www.mendeley.com/documents/?uuid=32e1e4e2-439f-4e2c-b323-129f80f1d49c"]}],"mendeley":{"formattedCitation":"[4]","plainTextFormattedCitation":"[4]","previouslyFormattedCitation":"[4]"},"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[4]</w:t>
            </w:r>
            <w:r w:rsidRPr="00C126D0">
              <w:rPr>
                <w:rFonts w:cstheme="minorHAnsi"/>
                <w:sz w:val="20"/>
                <w:szCs w:val="20"/>
              </w:rPr>
              <w:fldChar w:fldCharType="end"/>
            </w:r>
          </w:p>
        </w:tc>
        <w:tc>
          <w:tcPr>
            <w:tcW w:w="2009" w:type="dxa"/>
            <w:hideMark/>
          </w:tcPr>
          <w:p w14:paraId="4DA804E1" w14:textId="77777777" w:rsidR="00956C1D" w:rsidRPr="00C126D0" w:rsidRDefault="00956C1D" w:rsidP="00630B13">
            <w:pPr>
              <w:spacing w:after="0"/>
              <w:rPr>
                <w:rFonts w:cstheme="minorHAnsi"/>
                <w:sz w:val="20"/>
                <w:szCs w:val="20"/>
              </w:rPr>
            </w:pPr>
            <w:r w:rsidRPr="00C126D0">
              <w:rPr>
                <w:rFonts w:cstheme="minorHAnsi"/>
                <w:sz w:val="20"/>
                <w:szCs w:val="20"/>
              </w:rPr>
              <w:t>Develop disaster resilience indicators.</w:t>
            </w:r>
          </w:p>
        </w:tc>
        <w:tc>
          <w:tcPr>
            <w:tcW w:w="1373" w:type="dxa"/>
            <w:hideMark/>
          </w:tcPr>
          <w:p w14:paraId="41D0147D" w14:textId="77777777" w:rsidR="00956C1D" w:rsidRPr="00C126D0" w:rsidRDefault="00956C1D" w:rsidP="00630B13">
            <w:pPr>
              <w:spacing w:after="0"/>
              <w:rPr>
                <w:rFonts w:cstheme="minorHAnsi"/>
                <w:sz w:val="20"/>
                <w:szCs w:val="20"/>
              </w:rPr>
            </w:pPr>
            <w:r w:rsidRPr="00C126D0">
              <w:rPr>
                <w:rFonts w:cstheme="minorHAnsi"/>
                <w:sz w:val="20"/>
                <w:szCs w:val="20"/>
              </w:rPr>
              <w:t>Literature review and expert consultation</w:t>
            </w:r>
          </w:p>
        </w:tc>
        <w:tc>
          <w:tcPr>
            <w:tcW w:w="2408" w:type="dxa"/>
            <w:hideMark/>
          </w:tcPr>
          <w:p w14:paraId="66AED6B3" w14:textId="77777777" w:rsidR="00956C1D" w:rsidRPr="00C126D0" w:rsidRDefault="00956C1D" w:rsidP="00630B13">
            <w:pPr>
              <w:spacing w:after="0"/>
              <w:rPr>
                <w:rFonts w:cstheme="minorHAnsi"/>
                <w:sz w:val="20"/>
                <w:szCs w:val="20"/>
              </w:rPr>
            </w:pPr>
            <w:r w:rsidRPr="00C126D0">
              <w:rPr>
                <w:rFonts w:cstheme="minorHAnsi"/>
                <w:sz w:val="20"/>
                <w:szCs w:val="20"/>
              </w:rPr>
              <w:t>Proposed a set of indicators for disaster resilience.</w:t>
            </w:r>
          </w:p>
        </w:tc>
        <w:tc>
          <w:tcPr>
            <w:tcW w:w="2340" w:type="dxa"/>
            <w:hideMark/>
          </w:tcPr>
          <w:p w14:paraId="5C6F8251" w14:textId="77777777" w:rsidR="00956C1D" w:rsidRPr="00C126D0" w:rsidRDefault="00956C1D" w:rsidP="00630B13">
            <w:pPr>
              <w:spacing w:after="0"/>
              <w:rPr>
                <w:rFonts w:cstheme="minorHAnsi"/>
                <w:sz w:val="20"/>
                <w:szCs w:val="20"/>
              </w:rPr>
            </w:pPr>
            <w:r w:rsidRPr="00C126D0">
              <w:rPr>
                <w:rFonts w:cstheme="minorHAnsi"/>
                <w:sz w:val="20"/>
                <w:szCs w:val="20"/>
              </w:rPr>
              <w:t>Provides a benchmark for assessing resilience maturity.</w:t>
            </w:r>
          </w:p>
        </w:tc>
      </w:tr>
      <w:tr w:rsidR="00956C1D" w:rsidRPr="00C126D0" w14:paraId="650B40C3" w14:textId="77777777" w:rsidTr="00956C1D">
        <w:trPr>
          <w:trHeight w:val="593"/>
        </w:trPr>
        <w:tc>
          <w:tcPr>
            <w:tcW w:w="534" w:type="dxa"/>
          </w:tcPr>
          <w:p w14:paraId="1A8686DF" w14:textId="3759E477" w:rsidR="00956C1D" w:rsidRPr="00C126D0" w:rsidRDefault="00956C1D" w:rsidP="00630B13">
            <w:pPr>
              <w:spacing w:after="0"/>
              <w:rPr>
                <w:rFonts w:cstheme="minorHAnsi"/>
                <w:sz w:val="20"/>
                <w:szCs w:val="20"/>
              </w:rPr>
            </w:pPr>
            <w:r w:rsidRPr="00C126D0">
              <w:rPr>
                <w:rFonts w:cstheme="minorHAnsi"/>
                <w:color w:val="000000"/>
                <w:sz w:val="20"/>
                <w:szCs w:val="20"/>
              </w:rPr>
              <w:t>5</w:t>
            </w:r>
          </w:p>
        </w:tc>
        <w:tc>
          <w:tcPr>
            <w:tcW w:w="1321" w:type="dxa"/>
            <w:hideMark/>
          </w:tcPr>
          <w:p w14:paraId="10EED2F6" w14:textId="698F77D9" w:rsidR="00956C1D" w:rsidRPr="00C126D0" w:rsidRDefault="00956C1D" w:rsidP="00630B13">
            <w:pPr>
              <w:spacing w:after="0"/>
              <w:rPr>
                <w:rFonts w:cstheme="minorHAnsi"/>
                <w:sz w:val="20"/>
                <w:szCs w:val="20"/>
              </w:rPr>
            </w:pPr>
            <w:r w:rsidRPr="00C126D0">
              <w:rPr>
                <w:rFonts w:cstheme="minorHAnsi"/>
                <w:sz w:val="20"/>
                <w:szCs w:val="20"/>
              </w:rPr>
              <w:t xml:space="preserve">Van Well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{"citationItems":[{"id":"ITEM-1","itemData":{"DOI":"10.1016/j.ijdrr.2018.01.005","ISBN":"2212-4209","ISSN":"22124209","abstract":"Institutional arrangements at work in the governance of natural hazard risks in Denmark, Finland, Iceland, Norway and Sweden are reviewed and analyzed against the territorial governance conceptual framework. The review and analysis are based on information gathered through literature, an expert online survey, interviews and a one and a half-day workshop. The Nordic countries share certain governance characteristics, such as a welfare state legacy, promotion of transparency, and the inclination to bottom-up and polycentric governance approaches. In this context, it is no surprise that seemingly the institutional arrangements for natural hazard management are formed along similar lines. However, the hazard landscape is diverse and legislation and acquired governance practices in each country reflect these differences, particularly in the production of knowledge about the hazards. Nordic governance regimes and regulations combine broadly defined responsibilities with detailed requirements and distributed authority across sectors. Yet, a closer look at some of the territorial preconditions reveals some interesting differences that influence DRM and societal resilience.","author":[{"dropping-particle":"","family":"Well","given":"Lisa","non-dropping-particle":"Van","parse-names":false,"suffix":""},{"dropping-particle":"van der","family":"Keur","given":"Peter","non-dropping-particle":"","parse-names":false,"suffix":""},{"dropping-particle":"","family":"Harjanne","given":"Atte","non-dropping-particle":"","parse-names":false,"suffix":""},{"dropping-particle":"","family":"Pagneux","given":"Emmanuel","non-dropping-particle":"","parse-names":false,"suffix":""},{"dropping-particle":"","family":"Perrels","given":"Adriaan","non-dropping-particle":"","parse-names":false,"suffix":""},{"dropping-particle":"","family":"Henriksen","given":"Hans Jørgen","non-dropping-particle":"","parse-names":false,"suffix":""}],"container-title":"International Journal of Disaster Risk Reduction","id":"ITEM-1","issue":"March 2017","issued":{"date-parts":[["2018"]]},"page":"1283-1294","publisher":"Elsevier Ltd","title":"Resilience to natural hazards: An analysis of territorial governance in the Nordic countries","type":"article-journal","volume":"31"},"uris":["http://www.mendeley.com/documents/?uuid=33ee45c8-2251-48eb-a1a0-9ba49493a3e6"]}],"mendeley":{"formattedCitation":"[5]","plainTextFormattedCitation":"[5]","previouslyFormattedCitation":"[5]"},"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[5]</w:t>
            </w:r>
            <w:r w:rsidRPr="00C126D0">
              <w:rPr>
                <w:rFonts w:cstheme="minorHAnsi"/>
                <w:sz w:val="20"/>
                <w:szCs w:val="20"/>
              </w:rPr>
              <w:fldChar w:fldCharType="end"/>
            </w:r>
          </w:p>
        </w:tc>
        <w:tc>
          <w:tcPr>
            <w:tcW w:w="2009" w:type="dxa"/>
            <w:hideMark/>
          </w:tcPr>
          <w:p w14:paraId="20B13270" w14:textId="77777777" w:rsidR="00956C1D" w:rsidRPr="00C126D0" w:rsidRDefault="00956C1D" w:rsidP="00630B13">
            <w:pPr>
              <w:spacing w:after="0"/>
              <w:rPr>
                <w:rFonts w:cstheme="minorHAnsi"/>
                <w:sz w:val="20"/>
                <w:szCs w:val="20"/>
              </w:rPr>
            </w:pPr>
            <w:r w:rsidRPr="00C126D0">
              <w:rPr>
                <w:rFonts w:cstheme="minorHAnsi"/>
                <w:sz w:val="20"/>
                <w:szCs w:val="20"/>
              </w:rPr>
              <w:t>Investigate resilience strategies under different flood risk regimes.</w:t>
            </w:r>
          </w:p>
        </w:tc>
        <w:tc>
          <w:tcPr>
            <w:tcW w:w="1373" w:type="dxa"/>
            <w:hideMark/>
          </w:tcPr>
          <w:p w14:paraId="48E8BA3E" w14:textId="77777777" w:rsidR="00956C1D" w:rsidRPr="00C126D0" w:rsidRDefault="00956C1D" w:rsidP="00630B13">
            <w:pPr>
              <w:spacing w:after="0"/>
              <w:rPr>
                <w:rFonts w:cstheme="minorHAnsi"/>
                <w:sz w:val="20"/>
                <w:szCs w:val="20"/>
              </w:rPr>
            </w:pPr>
            <w:r w:rsidRPr="00C126D0">
              <w:rPr>
                <w:rFonts w:cstheme="minorHAnsi"/>
                <w:sz w:val="20"/>
                <w:szCs w:val="20"/>
              </w:rPr>
              <w:t>Comparative case studies</w:t>
            </w:r>
          </w:p>
        </w:tc>
        <w:tc>
          <w:tcPr>
            <w:tcW w:w="2408" w:type="dxa"/>
            <w:hideMark/>
          </w:tcPr>
          <w:p w14:paraId="233DC846" w14:textId="77777777" w:rsidR="00956C1D" w:rsidRPr="00C126D0" w:rsidRDefault="00956C1D" w:rsidP="00630B13">
            <w:pPr>
              <w:spacing w:after="0"/>
              <w:rPr>
                <w:rFonts w:cstheme="minorHAnsi"/>
                <w:sz w:val="20"/>
                <w:szCs w:val="20"/>
              </w:rPr>
            </w:pPr>
            <w:r w:rsidRPr="00C126D0">
              <w:rPr>
                <w:rFonts w:cstheme="minorHAnsi"/>
                <w:sz w:val="20"/>
                <w:szCs w:val="20"/>
              </w:rPr>
              <w:t>Identified different resilience strategies based on flood risk management regimes.</w:t>
            </w:r>
          </w:p>
        </w:tc>
        <w:tc>
          <w:tcPr>
            <w:tcW w:w="2340" w:type="dxa"/>
            <w:hideMark/>
          </w:tcPr>
          <w:p w14:paraId="1438E08D" w14:textId="77777777" w:rsidR="00956C1D" w:rsidRPr="00C126D0" w:rsidRDefault="00956C1D" w:rsidP="00630B13">
            <w:pPr>
              <w:spacing w:after="0"/>
              <w:rPr>
                <w:rFonts w:cstheme="minorHAnsi"/>
                <w:sz w:val="20"/>
                <w:szCs w:val="20"/>
              </w:rPr>
            </w:pPr>
            <w:r w:rsidRPr="00C126D0">
              <w:rPr>
                <w:rFonts w:cstheme="minorHAnsi"/>
                <w:sz w:val="20"/>
                <w:szCs w:val="20"/>
              </w:rPr>
              <w:t>Highlights the need for adaptive strategies based on specific contexts.</w:t>
            </w:r>
          </w:p>
        </w:tc>
      </w:tr>
      <w:tr w:rsidR="00956C1D" w:rsidRPr="00C126D0" w14:paraId="3C49003B" w14:textId="77777777" w:rsidTr="00956C1D">
        <w:trPr>
          <w:trHeight w:val="1214"/>
        </w:trPr>
        <w:tc>
          <w:tcPr>
            <w:tcW w:w="534" w:type="dxa"/>
          </w:tcPr>
          <w:p w14:paraId="71E768D2" w14:textId="0E9E8206" w:rsidR="00956C1D" w:rsidRPr="00C126D0" w:rsidRDefault="00956C1D" w:rsidP="00630B13">
            <w:pPr>
              <w:spacing w:after="0"/>
              <w:rPr>
                <w:rFonts w:cstheme="minorHAnsi"/>
                <w:sz w:val="20"/>
                <w:szCs w:val="20"/>
              </w:rPr>
            </w:pPr>
            <w:r w:rsidRPr="00C126D0">
              <w:rPr>
                <w:rFonts w:cstheme="minorHAnsi"/>
                <w:color w:val="000000"/>
                <w:sz w:val="20"/>
                <w:szCs w:val="20"/>
              </w:rPr>
              <w:t>6</w:t>
            </w:r>
          </w:p>
        </w:tc>
        <w:tc>
          <w:tcPr>
            <w:tcW w:w="1321" w:type="dxa"/>
            <w:hideMark/>
          </w:tcPr>
          <w:p w14:paraId="7BC053E0" w14:textId="67D17557" w:rsidR="00956C1D" w:rsidRPr="00C126D0" w:rsidRDefault="00956C1D" w:rsidP="00630B13">
            <w:pPr>
              <w:spacing w:after="0"/>
              <w:rPr>
                <w:rFonts w:cstheme="minorHAnsi"/>
                <w:sz w:val="20"/>
                <w:szCs w:val="20"/>
              </w:rPr>
            </w:pPr>
            <w:proofErr w:type="spellStart"/>
            <w:r w:rsidRPr="00C126D0">
              <w:rPr>
                <w:rFonts w:cstheme="minorHAnsi"/>
                <w:sz w:val="20"/>
                <w:szCs w:val="20"/>
              </w:rPr>
              <w:t>Kontokosta</w:t>
            </w:r>
            <w:proofErr w:type="spellEnd"/>
            <w:r w:rsidRPr="00C126D0">
              <w:rPr>
                <w:rFonts w:cstheme="minorHAnsi"/>
                <w:sz w:val="20"/>
                <w:szCs w:val="20"/>
              </w:rPr>
              <w:t xml:space="preserve"> </w:t>
            </w:r>
            <w:r>
              <w:rPr>
                <w:rFonts w:cstheme="minorHAnsi"/>
                <w:sz w:val="20"/>
                <w:szCs w:val="20"/>
              </w:rPr>
              <w:t xml:space="preserve">and </w:t>
            </w:r>
            <w:r w:rsidRPr="00C126D0">
              <w:rPr>
                <w:rFonts w:cstheme="minorHAnsi"/>
                <w:sz w:val="20"/>
                <w:szCs w:val="20"/>
              </w:rPr>
              <w:t xml:space="preserve">Malik </w:t>
            </w:r>
            <w:r w:rsidRPr="00C126D0">
              <w:rPr>
                <w:rFonts w:cstheme="minorHAnsi"/>
                <w:sz w:val="20"/>
                <w:szCs w:val="20"/>
              </w:rPr>
              <w:fldChar w:fldCharType="begin" w:fldLock="1"/>
            </w:r>
            <w:r w:rsidRPr="00C126D0">
              <w:rPr>
                <w:rFonts w:cstheme="minorHAnsi"/>
                <w:sz w:val="20"/>
                <w:szCs w:val="20"/>
              </w:rPr>
              <w:instrText>ADDIN CSL_CITATION {"citationItems":[{"id":"ITEM-1","itemData":{"DOI":"10.1016/j.scs.2017.10.025","ISSN":"22106707","abstract":"Resilience planning and emergency management require policymakers and agency leaders to make difficult decisions regarding which at-risk populations should be given priority in the allocation of limited resources. Our work focuses on benchmarking neighborhood resilience by developing a unified, multi-factor index of local and regional resilience capacity: the Resilience to Emergencies and Disasters Index (REDI). The strength of the REDI methodology is the integration of measures of physical, natural, and social systems – operationalized through the collection and analysis of large-scale, heterogeneous, and high resolution urban data – to classify and rank the relative resilience capacity embedded in localized urban systems. Feature selection methodologies are discussed to justify the selection of included indicator variables. Hurricane Sandy is used to validate the REDI scores by measuring the recovery periods for neighborhoods directly impacted by the storm. Using over 12,000,000 records for New York City's 311 service request system, we develop a proxy for neighborhood activity, both pre- and post-event. Hurricane Sandy had a significant and immediate impact on neighborhoods classified as least resilient based on the calculated REDI scores, while the most resilient neighborhoods were shown to better withstand disruption to normal activity patterns and more quickly recover to pre-event functional capacity.","author":[{"dropping-particle":"","family":"Kontokosta","given":"Constantine E.","non-dropping-particle":"","parse-names":false,"suffix":""},{"dropping-particle":"","family":"Malik","given":"Awais","non-dropping-particle":"","parse-names":false,"suffix":""}],"container-title":"Sustainable Cities and Society","id":"ITEM-1","issue":"October 2017","issued":{"date-parts":[["2018"]]},"page":"272-285","publisher":"Elsevier","title":"The Resilience to Emergencies and Disasters Index: Applying big data to benchmark and validate neighborhood resilience capacity","type":"article-journal","volume":"36"},"uris":["http://www.mendeley.com/documents/?uuid=8503bd11-664d-4289-bbe6-d09654bdaffd"]}],"mendeley":{"formattedCitation":"[6]","plainTextFormattedCitation":"[6]","previouslyFormattedCitation":"[6]"},"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[6]</w:t>
            </w:r>
            <w:r w:rsidRPr="00C126D0">
              <w:rPr>
                <w:rFonts w:cstheme="minorHAnsi"/>
                <w:sz w:val="20"/>
                <w:szCs w:val="20"/>
              </w:rPr>
              <w:fldChar w:fldCharType="end"/>
            </w:r>
          </w:p>
        </w:tc>
        <w:tc>
          <w:tcPr>
            <w:tcW w:w="2009" w:type="dxa"/>
            <w:hideMark/>
          </w:tcPr>
          <w:p w14:paraId="77188BE3" w14:textId="2DDF81A4" w:rsidR="00956C1D" w:rsidRPr="00C126D0" w:rsidRDefault="00956C1D" w:rsidP="00630B13">
            <w:pPr>
              <w:spacing w:after="0"/>
              <w:rPr>
                <w:rFonts w:cstheme="minorHAnsi"/>
                <w:sz w:val="20"/>
                <w:szCs w:val="20"/>
              </w:rPr>
            </w:pPr>
            <w:r w:rsidRPr="00C126D0">
              <w:rPr>
                <w:rFonts w:cstheme="minorHAnsi"/>
                <w:sz w:val="20"/>
                <w:szCs w:val="20"/>
              </w:rPr>
              <w:t>To develop a unified index for benchmarking neighborhood resilience</w:t>
            </w:r>
          </w:p>
        </w:tc>
        <w:tc>
          <w:tcPr>
            <w:tcW w:w="1373" w:type="dxa"/>
            <w:hideMark/>
          </w:tcPr>
          <w:p w14:paraId="03BB8BFD" w14:textId="3E5949EF" w:rsidR="00956C1D" w:rsidRPr="00C126D0" w:rsidRDefault="00956C1D" w:rsidP="00630B13">
            <w:pPr>
              <w:spacing w:after="0"/>
              <w:rPr>
                <w:rFonts w:cstheme="minorHAnsi"/>
                <w:sz w:val="20"/>
                <w:szCs w:val="20"/>
              </w:rPr>
            </w:pPr>
            <w:r>
              <w:rPr>
                <w:rFonts w:cstheme="minorHAnsi"/>
                <w:sz w:val="20"/>
                <w:szCs w:val="20"/>
              </w:rPr>
              <w:t>Quantitative a</w:t>
            </w:r>
            <w:r w:rsidRPr="00C126D0">
              <w:rPr>
                <w:rFonts w:cstheme="minorHAnsi"/>
                <w:sz w:val="20"/>
                <w:szCs w:val="20"/>
              </w:rPr>
              <w:t xml:space="preserve">nalysis </w:t>
            </w:r>
          </w:p>
        </w:tc>
        <w:tc>
          <w:tcPr>
            <w:tcW w:w="2408" w:type="dxa"/>
            <w:hideMark/>
          </w:tcPr>
          <w:p w14:paraId="4CF61A96" w14:textId="69A74B20" w:rsidR="00956C1D" w:rsidRPr="00C126D0" w:rsidRDefault="00956C1D" w:rsidP="00630B13">
            <w:pPr>
              <w:spacing w:after="0"/>
              <w:rPr>
                <w:rFonts w:cstheme="minorHAnsi"/>
                <w:sz w:val="20"/>
                <w:szCs w:val="20"/>
              </w:rPr>
            </w:pPr>
            <w:r w:rsidRPr="00C126D0">
              <w:rPr>
                <w:rFonts w:cstheme="minorHAnsi"/>
                <w:sz w:val="20"/>
                <w:szCs w:val="20"/>
              </w:rPr>
              <w:t xml:space="preserve">The Resilience to Emergencies and Disasters Index (REDI) is a valid measure of </w:t>
            </w:r>
            <w:r w:rsidR="009A5493">
              <w:rPr>
                <w:rFonts w:cstheme="minorHAnsi"/>
                <w:sz w:val="20"/>
                <w:szCs w:val="20"/>
              </w:rPr>
              <w:t>community</w:t>
            </w:r>
            <w:r w:rsidRPr="00C126D0">
              <w:rPr>
                <w:rFonts w:cstheme="minorHAnsi"/>
                <w:sz w:val="20"/>
                <w:szCs w:val="20"/>
              </w:rPr>
              <w:t xml:space="preserve"> resilience</w:t>
            </w:r>
            <w:r w:rsidR="009A5493">
              <w:rPr>
                <w:rFonts w:cstheme="minorHAnsi"/>
                <w:sz w:val="20"/>
                <w:szCs w:val="20"/>
              </w:rPr>
              <w:t>.</w:t>
            </w:r>
          </w:p>
        </w:tc>
        <w:tc>
          <w:tcPr>
            <w:tcW w:w="2340" w:type="dxa"/>
            <w:hideMark/>
          </w:tcPr>
          <w:p w14:paraId="1866D6BE" w14:textId="13F69EF1" w:rsidR="00956C1D" w:rsidRPr="00C126D0" w:rsidRDefault="00956C1D" w:rsidP="00630B13">
            <w:pPr>
              <w:spacing w:after="0"/>
              <w:rPr>
                <w:rFonts w:cstheme="minorHAnsi"/>
                <w:sz w:val="20"/>
                <w:szCs w:val="20"/>
              </w:rPr>
            </w:pPr>
            <w:r w:rsidRPr="00C126D0">
              <w:rPr>
                <w:rFonts w:cstheme="minorHAnsi"/>
                <w:sz w:val="20"/>
                <w:szCs w:val="20"/>
              </w:rPr>
              <w:t>The study provides a valuable tool for policymakers and agency leaders in resilience planning and emergency management</w:t>
            </w:r>
          </w:p>
        </w:tc>
      </w:tr>
      <w:tr w:rsidR="00956C1D" w:rsidRPr="00C126D0" w14:paraId="02513780" w14:textId="77777777" w:rsidTr="00956C1D">
        <w:trPr>
          <w:trHeight w:val="56"/>
        </w:trPr>
        <w:tc>
          <w:tcPr>
            <w:tcW w:w="534" w:type="dxa"/>
          </w:tcPr>
          <w:p w14:paraId="71428285" w14:textId="71EEDD05" w:rsidR="00956C1D" w:rsidRPr="00C126D0" w:rsidRDefault="00956C1D" w:rsidP="00630B13">
            <w:pPr>
              <w:spacing w:after="0"/>
              <w:rPr>
                <w:rFonts w:cstheme="minorHAnsi"/>
                <w:sz w:val="20"/>
                <w:szCs w:val="20"/>
              </w:rPr>
            </w:pPr>
            <w:r w:rsidRPr="00C126D0">
              <w:rPr>
                <w:rFonts w:cstheme="minorHAnsi"/>
                <w:color w:val="000000"/>
                <w:sz w:val="20"/>
                <w:szCs w:val="20"/>
              </w:rPr>
              <w:t>7</w:t>
            </w:r>
          </w:p>
        </w:tc>
        <w:tc>
          <w:tcPr>
            <w:tcW w:w="1321" w:type="dxa"/>
            <w:hideMark/>
          </w:tcPr>
          <w:p w14:paraId="579A9CAB" w14:textId="7320B643" w:rsidR="00956C1D" w:rsidRPr="00C126D0" w:rsidRDefault="00956C1D" w:rsidP="00630B13">
            <w:pPr>
              <w:spacing w:after="0"/>
              <w:rPr>
                <w:rFonts w:cstheme="minorHAnsi"/>
                <w:sz w:val="20"/>
                <w:szCs w:val="20"/>
              </w:rPr>
            </w:pPr>
            <w:r w:rsidRPr="00C126D0">
              <w:rPr>
                <w:rFonts w:cstheme="minorHAnsi"/>
                <w:sz w:val="20"/>
                <w:szCs w:val="20"/>
              </w:rPr>
              <w:t xml:space="preserve">Dunning </w:t>
            </w:r>
            <w:r w:rsidRPr="00C126D0">
              <w:rPr>
                <w:rFonts w:cstheme="minorHAnsi"/>
                <w:sz w:val="20"/>
                <w:szCs w:val="20"/>
              </w:rPr>
              <w:fldChar w:fldCharType="begin" w:fldLock="1"/>
            </w:r>
            <w:r w:rsidRPr="00C126D0">
              <w:rPr>
                <w:rFonts w:cstheme="minorHAnsi"/>
                <w:sz w:val="20"/>
                <w:szCs w:val="20"/>
              </w:rPr>
              <w:instrText>ADDIN CSL_CITATION {"citationItems":[{"id":"ITEM-1","itemData":{"DOI":"10.1016/j.ecolecon.2020.106759","ISSN":"09218009","abstract":"This paper provides an evidence-based contribution to understanding coastal governance in response to hurricane hazards. It uses the five-part conceptual framework for coastal governance, which includes 1) complexity, 2) vulnerability, 3) adaptive management, 4) stakeholder participation, and 5) the integration of technical knowledge in decision-making. A case study of the Harvey-impacted Texas communities in the Gulf of Mexico is presented within this framework. This particular case is important because of current high level discussions that suggest subnational, state-centric policy response to hazards may be the new model for disaster response moving forward. This study presents insights on the current trends toward devolved, subnational policy response to disasters, as well as a revised framework for coastal governance, where resilience is linked to all concepts in the governance framework as an outcome. Several major findings are discussed. First, higher scales of government take much longer than is necessary to respond to hazards because of their complex administrative policies and procedures. This is worsened in places that have not experienced hazards in recent decades. Innovative adaptation by subnational policy-makers may be one pathway to quicken policy response, as are the commendable but fragmented efforts of charities and voluntary groups. However, devolved policy responses may face their own challenges in implementation, increasing adaptive capacity but decreasing resilience. This study found that participatory, multi-stakeholder processes enhance resilience through disaster simulation exercises and participatory planning processes. These participatory processes enhance learning and the capacity to implement recovery-focused public policy within the constraints of the disaster.","author":[{"dropping-particle":"","family":"Dunning","given":"Kelly Heber","non-dropping-particle":"","parse-names":false,"suffix":""}],"container-title":"Ecological Economics","id":"ITEM-1","issue":"May","issued":{"date-parts":[["2020"]]},"page":"106759","publisher":"Elsevier","title":"Building resilience to natural hazards through coastal governance: a case study of Hurricane Harvey recovery in Gulf of Mexico communities","type":"article-journal","volume":"176"},"uris":["http://www.mendeley.com/documents/?uuid=cec7b0eb-d43e-40e4-9a40-00ca49a7fa24"]}],"mendeley":{"formattedCitation":"[7]","plainTextFormattedCitation":"[7]","previouslyFormattedCitation":"[7]"},"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[7]</w:t>
            </w:r>
            <w:r w:rsidRPr="00C126D0">
              <w:rPr>
                <w:rFonts w:cstheme="minorHAnsi"/>
                <w:sz w:val="20"/>
                <w:szCs w:val="20"/>
              </w:rPr>
              <w:fldChar w:fldCharType="end"/>
            </w:r>
          </w:p>
        </w:tc>
        <w:tc>
          <w:tcPr>
            <w:tcW w:w="2009" w:type="dxa"/>
            <w:hideMark/>
          </w:tcPr>
          <w:p w14:paraId="7EC0AAE6" w14:textId="0DEA5A83" w:rsidR="00956C1D" w:rsidRPr="00C126D0" w:rsidRDefault="00956C1D" w:rsidP="00630B13">
            <w:pPr>
              <w:spacing w:after="0"/>
              <w:rPr>
                <w:rFonts w:cstheme="minorHAnsi"/>
                <w:sz w:val="20"/>
                <w:szCs w:val="20"/>
              </w:rPr>
            </w:pPr>
            <w:r w:rsidRPr="00C126D0">
              <w:rPr>
                <w:rFonts w:cstheme="minorHAnsi"/>
                <w:sz w:val="20"/>
                <w:szCs w:val="20"/>
              </w:rPr>
              <w:t>Explore the relationship between various components of coastal governance.</w:t>
            </w:r>
          </w:p>
        </w:tc>
        <w:tc>
          <w:tcPr>
            <w:tcW w:w="1373" w:type="dxa"/>
            <w:hideMark/>
          </w:tcPr>
          <w:p w14:paraId="40693A35" w14:textId="77777777"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hideMark/>
          </w:tcPr>
          <w:p w14:paraId="1FEAD873" w14:textId="77777777" w:rsidR="00956C1D" w:rsidRPr="00C126D0" w:rsidRDefault="00956C1D" w:rsidP="00630B13">
            <w:pPr>
              <w:spacing w:after="0"/>
              <w:rPr>
                <w:rFonts w:cstheme="minorHAnsi"/>
                <w:sz w:val="20"/>
                <w:szCs w:val="20"/>
              </w:rPr>
            </w:pPr>
            <w:r w:rsidRPr="00C126D0">
              <w:rPr>
                <w:rFonts w:cstheme="minorHAnsi"/>
                <w:sz w:val="20"/>
                <w:szCs w:val="20"/>
              </w:rPr>
              <w:t>Redundancy can both enhance and reduce resilience.</w:t>
            </w:r>
          </w:p>
        </w:tc>
        <w:tc>
          <w:tcPr>
            <w:tcW w:w="2340" w:type="dxa"/>
            <w:hideMark/>
          </w:tcPr>
          <w:p w14:paraId="0F7E7B69" w14:textId="77777777" w:rsidR="00956C1D" w:rsidRPr="00C126D0" w:rsidRDefault="00956C1D" w:rsidP="00630B13">
            <w:pPr>
              <w:spacing w:after="0"/>
              <w:rPr>
                <w:rFonts w:cstheme="minorHAnsi"/>
                <w:sz w:val="20"/>
                <w:szCs w:val="20"/>
              </w:rPr>
            </w:pPr>
            <w:r w:rsidRPr="00C126D0">
              <w:rPr>
                <w:rFonts w:cstheme="minorHAnsi"/>
                <w:sz w:val="20"/>
                <w:szCs w:val="20"/>
              </w:rPr>
              <w:t>Calls for a balance between redundancy and complexity in infrastructure systems.</w:t>
            </w:r>
          </w:p>
        </w:tc>
      </w:tr>
      <w:tr w:rsidR="00956C1D" w:rsidRPr="00C126D0" w14:paraId="7C4C8188" w14:textId="77777777" w:rsidTr="00956C1D">
        <w:trPr>
          <w:trHeight w:val="485"/>
        </w:trPr>
        <w:tc>
          <w:tcPr>
            <w:tcW w:w="534" w:type="dxa"/>
          </w:tcPr>
          <w:p w14:paraId="5C7E0094" w14:textId="73A1F589" w:rsidR="00956C1D" w:rsidRPr="00C126D0" w:rsidRDefault="00956C1D" w:rsidP="00630B13">
            <w:pPr>
              <w:spacing w:after="0"/>
              <w:rPr>
                <w:rFonts w:cstheme="minorHAnsi"/>
                <w:sz w:val="20"/>
                <w:szCs w:val="20"/>
              </w:rPr>
            </w:pPr>
            <w:r w:rsidRPr="00C126D0">
              <w:rPr>
                <w:rFonts w:cstheme="minorHAnsi"/>
                <w:color w:val="000000"/>
                <w:sz w:val="20"/>
                <w:szCs w:val="20"/>
              </w:rPr>
              <w:t>8</w:t>
            </w:r>
          </w:p>
        </w:tc>
        <w:tc>
          <w:tcPr>
            <w:tcW w:w="1321" w:type="dxa"/>
            <w:hideMark/>
          </w:tcPr>
          <w:p w14:paraId="00CAE080" w14:textId="39E07622" w:rsidR="00956C1D" w:rsidRPr="00C126D0" w:rsidRDefault="00956C1D" w:rsidP="00630B13">
            <w:pPr>
              <w:spacing w:after="0"/>
              <w:rPr>
                <w:rFonts w:cstheme="minorHAnsi"/>
                <w:sz w:val="20"/>
                <w:szCs w:val="20"/>
              </w:rPr>
            </w:pPr>
            <w:r w:rsidRPr="00C126D0">
              <w:rPr>
                <w:rFonts w:cstheme="minorHAnsi"/>
                <w:sz w:val="20"/>
                <w:szCs w:val="20"/>
              </w:rPr>
              <w:t xml:space="preserve">Hermans et al. </w:t>
            </w:r>
            <w:r w:rsidRPr="00C126D0">
              <w:rPr>
                <w:rFonts w:cstheme="minorHAnsi"/>
                <w:sz w:val="20"/>
                <w:szCs w:val="20"/>
              </w:rPr>
              <w:fldChar w:fldCharType="begin" w:fldLock="1"/>
            </w:r>
            <w:r w:rsidRPr="00C126D0">
              <w:rPr>
                <w:rFonts w:cstheme="minorHAnsi"/>
                <w:sz w:val="20"/>
                <w:szCs w:val="20"/>
              </w:rPr>
              <w:instrText>ADDIN CSL_CITATION {"citationItems":[{"id":"ITEM-1","itemData":{"DOI":"10.1007/s11069-022-05468-8","ISBN":"0123456789","ISSN":"15730840","abstract":"The occurrence and intensity of some natural hazards (e.g. hydro-meteorological) increase due to climate change, with growing exposure and socio-economic vulnerability, leading to mounting risks. In response, Disaster Risk Reduction policy and practice emphasize people-centred Early Warning Systems (EWS). Global policies stress the need for including local knowledge and increasing the literature on integrating local and scientific knowledge for EWS. In this paper, we present a review to understand and outline how local and scientific knowledge integration is framed in EWS, namely: (1) existing integration approaches, (2) where in the EWS integration happens, (3) outcomes, (4) challenges, and (5) enablers. The objective is to critically evaluate integration and highlight critical questions about assumptions, goals, outcomes, and processes. In particular, we unpack the impact of power and knowledges as plural. We find a spectrum of integration between knowledges in EWS, mainly with dichotomy at the start: focus on people or technology. The most popular integration approaches are participatory methods such as ‘GIS mapping’ (technology) and methods that focus on ‘triangulation’ (people). We find that critical analysis of power relations and social interaction is either missed or framed as a challenge within integration processes. Knowledge is often seen as binary, embedded in the concept of ‘integration’. It is important to know what different knowledges can and cannot do in different contexts and acknowledge the hybrid reality of knowledge used for EWS. We argue that how we approach different knowledges in EWS has fundamental implications for the approaches to integration and its meaning. To this end, attention to the social processes, power dynamics, and context is crucial.","author":[{"dropping-particle":"","family":"Hermans","given":"Thirze D.G.","non-dropping-particle":"","parse-names":false,"suffix":""},{"dropping-particle":"","family":"Šakić Trogrlić","given":"Robert","non-dropping-particle":"","parse-names":false,"suffix":""},{"dropping-particle":"","family":"Homberg","given":"Marc J.C.","non-dropping-particle":"van den","parse-names":false,"suffix":""},{"dropping-particle":"","family":"Bailon","given":"Hannah","non-dropping-particle":"","parse-names":false,"suffix":""},{"dropping-particle":"","family":"Sarku","given":"Rebecca","non-dropping-particle":"","parse-names":false,"suffix":""},{"dropping-particle":"","family":"Mosurska","given":"Anuszka","non-dropping-particle":"","parse-names":false,"suffix":""}],"container-title":"Natural Hazards","id":"ITEM-1","issue":"2","issued":{"date-parts":[["2022"]]},"page":"1125-1152","publisher":"Springer Netherlands","title":"Exploring the integration of local and scientific knowledge in early warning systems for disaster risk reduction: a review","type":"article-journal","volume":"114"},"uris":["http://www.mendeley.com/documents/?uuid=f536423c-0495-4578-a52b-93f36dc6c7af"]}],"mendeley":{"formattedCitation":"[8]","plainTextFormattedCitation":"[8]","previouslyFormattedCitation":"[8]"},"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[8]</w:t>
            </w:r>
            <w:r w:rsidRPr="00C126D0">
              <w:rPr>
                <w:rFonts w:cstheme="minorHAnsi"/>
                <w:sz w:val="20"/>
                <w:szCs w:val="20"/>
              </w:rPr>
              <w:fldChar w:fldCharType="end"/>
            </w:r>
          </w:p>
        </w:tc>
        <w:tc>
          <w:tcPr>
            <w:tcW w:w="2009" w:type="dxa"/>
            <w:hideMark/>
          </w:tcPr>
          <w:p w14:paraId="39B42706" w14:textId="41280C2A" w:rsidR="00956C1D" w:rsidRPr="00C126D0" w:rsidRDefault="0051224A" w:rsidP="00630B13">
            <w:pPr>
              <w:spacing w:after="0"/>
              <w:rPr>
                <w:rFonts w:cstheme="minorHAnsi"/>
                <w:sz w:val="20"/>
                <w:szCs w:val="20"/>
              </w:rPr>
            </w:pPr>
            <w:r w:rsidRPr="0051224A">
              <w:rPr>
                <w:rFonts w:cstheme="minorHAnsi"/>
                <w:sz w:val="20"/>
                <w:szCs w:val="20"/>
              </w:rPr>
              <w:t>Comprehend how EWS conceptualizes the integration of scientific and local knowledge.</w:t>
            </w:r>
          </w:p>
        </w:tc>
        <w:tc>
          <w:tcPr>
            <w:tcW w:w="1373" w:type="dxa"/>
            <w:hideMark/>
          </w:tcPr>
          <w:p w14:paraId="4F49D4D3" w14:textId="77777777" w:rsidR="00956C1D" w:rsidRPr="00C126D0" w:rsidRDefault="00956C1D" w:rsidP="00630B13">
            <w:pPr>
              <w:spacing w:after="0"/>
              <w:rPr>
                <w:rFonts w:cstheme="minorHAnsi"/>
                <w:sz w:val="20"/>
                <w:szCs w:val="20"/>
              </w:rPr>
            </w:pPr>
            <w:r w:rsidRPr="00C126D0">
              <w:rPr>
                <w:rFonts w:cstheme="minorHAnsi"/>
                <w:sz w:val="20"/>
                <w:szCs w:val="20"/>
              </w:rPr>
              <w:t>Literature review</w:t>
            </w:r>
          </w:p>
        </w:tc>
        <w:tc>
          <w:tcPr>
            <w:tcW w:w="2408" w:type="dxa"/>
            <w:hideMark/>
          </w:tcPr>
          <w:p w14:paraId="5E7675D2" w14:textId="60B773B4" w:rsidR="00956C1D" w:rsidRPr="00C126D0" w:rsidRDefault="0051224A" w:rsidP="00630B13">
            <w:pPr>
              <w:spacing w:after="0"/>
              <w:rPr>
                <w:rFonts w:cstheme="minorHAnsi"/>
                <w:sz w:val="20"/>
                <w:szCs w:val="20"/>
              </w:rPr>
            </w:pPr>
            <w:r w:rsidRPr="0051224A">
              <w:rPr>
                <w:rFonts w:cstheme="minorHAnsi"/>
                <w:sz w:val="20"/>
                <w:szCs w:val="20"/>
              </w:rPr>
              <w:t>An integration spectrum between knowledge domains in EWS was identified.</w:t>
            </w:r>
          </w:p>
        </w:tc>
        <w:tc>
          <w:tcPr>
            <w:tcW w:w="2340" w:type="dxa"/>
            <w:hideMark/>
          </w:tcPr>
          <w:p w14:paraId="0192EAF6" w14:textId="77777777" w:rsidR="00956C1D" w:rsidRPr="00C126D0" w:rsidRDefault="00956C1D" w:rsidP="00630B13">
            <w:pPr>
              <w:spacing w:after="0"/>
              <w:rPr>
                <w:rFonts w:cstheme="minorHAnsi"/>
                <w:sz w:val="20"/>
                <w:szCs w:val="20"/>
              </w:rPr>
            </w:pPr>
            <w:r w:rsidRPr="00C126D0">
              <w:rPr>
                <w:rFonts w:cstheme="minorHAnsi"/>
                <w:sz w:val="20"/>
                <w:szCs w:val="20"/>
              </w:rPr>
              <w:t>Emphasizes the importance of understanding power dynamics and context in EWS.</w:t>
            </w:r>
          </w:p>
        </w:tc>
      </w:tr>
      <w:tr w:rsidR="00956C1D" w:rsidRPr="00C126D0" w14:paraId="4C4E5A76" w14:textId="77777777" w:rsidTr="00956C1D">
        <w:trPr>
          <w:trHeight w:val="278"/>
        </w:trPr>
        <w:tc>
          <w:tcPr>
            <w:tcW w:w="534" w:type="dxa"/>
          </w:tcPr>
          <w:p w14:paraId="52988BA8" w14:textId="27557831" w:rsidR="00956C1D" w:rsidRPr="00C126D0" w:rsidRDefault="00956C1D" w:rsidP="00630B13">
            <w:pPr>
              <w:spacing w:after="0"/>
              <w:rPr>
                <w:rFonts w:cstheme="minorHAnsi"/>
                <w:sz w:val="20"/>
                <w:szCs w:val="20"/>
              </w:rPr>
            </w:pPr>
            <w:r w:rsidRPr="00C126D0">
              <w:rPr>
                <w:rFonts w:cstheme="minorHAnsi"/>
                <w:color w:val="000000"/>
                <w:sz w:val="20"/>
                <w:szCs w:val="20"/>
              </w:rPr>
              <w:t>9</w:t>
            </w:r>
          </w:p>
        </w:tc>
        <w:tc>
          <w:tcPr>
            <w:tcW w:w="1321" w:type="dxa"/>
            <w:hideMark/>
          </w:tcPr>
          <w:p w14:paraId="1E123805" w14:textId="4F884589" w:rsidR="00956C1D" w:rsidRPr="00C126D0" w:rsidRDefault="00956C1D" w:rsidP="00630B13">
            <w:pPr>
              <w:spacing w:after="0"/>
              <w:rPr>
                <w:rFonts w:cstheme="minorHAnsi"/>
                <w:sz w:val="20"/>
                <w:szCs w:val="20"/>
              </w:rPr>
            </w:pPr>
            <w:r w:rsidRPr="00C126D0">
              <w:rPr>
                <w:rFonts w:cstheme="minorHAnsi"/>
                <w:sz w:val="20"/>
                <w:szCs w:val="20"/>
              </w:rPr>
              <w:t xml:space="preserve">Niazi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{"citationItems":[{"id":"ITEM-1","itemData":{"DOI":"10.1016/j.ijdrr.2022.103397","ISSN":"22124209","abstract":"Children are psychologically most vulnerable to disasters. To quantitatively measure children's psychological resilience to disaster, this study proposes a children's resilience framework incorporating three components: mental health, attitude, and awareness. The proposed framework was applied and found effective by constructing Children Psychological Disaster Resilience Assessment Index. A questionnaire survey was conducted among children and their parent(s), in four disaster-prone communities of Peshawar, Pakistan. The result shows significant variations in the psychological resilience of children among the four areas. It is evident that a child's psychological resilience is an inherent characteristic, but it is not fixed or purely based upon intrinsic factors. It can be suppressed by various life stressors and enhanced with effective psychological disaster preparedness that enables children to adapt well to new perceived realities of life. The proposed framework and assessment methodology can be easily adapted and applied to quantify the psychological resilience of children and identify the precise component or set of indicators that can be improved for disaster risk reduction.","author":[{"dropping-particle":"","family":"Niazi","given":"Ihtisham Ul Haq Khan","non-dropping-particle":"","parse-names":false,"suffix":""},{"dropping-particle":"","family":"Rana","given":"Irfan Ahmad","non-dropping-particle":"","parse-names":false,"suffix":""},{"dropping-particle":"","family":"Arshad","given":"Hafiz Syed Hamid","non-dropping-particle":"","parse-names":false,"suffix":""},{"dropping-particle":"","family":"Lodhi","given":"Rida Hameed","non-dropping-particle":"","parse-names":false,"suffix":""},{"dropping-particle":"","family":"Najam","given":"Fawad Ahmed","non-dropping-particle":"","parse-names":false,"suffix":""},{"dropping-particle":"","family":"Jamshed","given":"Ali","non-dropping-particle":"","parse-names":false,"suffix":""}],"container-title":"International Journal of Disaster Risk Reduction","id":"ITEM-1","issue":"April","issued":{"date-parts":[["2022"]]},"page":"103397","publisher":"Elsevier Ltd","title":"Psychological resilience of children in a multi-hazard environment: An index-based approach","type":"article-journal","volume":"83"},"uris":["http://www.mendeley.com/documents/?uuid=4a294ac8-b1bb-48b0-8296-0bcb8c7dfac3"]}],"mendeley":{"formattedCitation":"[9]","plainTextFormattedCitation":"[9]","previouslyFormattedCitation":"[9]"},"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[9]</w:t>
            </w:r>
            <w:r w:rsidRPr="00C126D0">
              <w:rPr>
                <w:rFonts w:cstheme="minorHAnsi"/>
                <w:sz w:val="20"/>
                <w:szCs w:val="20"/>
              </w:rPr>
              <w:fldChar w:fldCharType="end"/>
            </w:r>
          </w:p>
        </w:tc>
        <w:tc>
          <w:tcPr>
            <w:tcW w:w="2009" w:type="dxa"/>
            <w:hideMark/>
          </w:tcPr>
          <w:p w14:paraId="464E06EF" w14:textId="594C1482" w:rsidR="00956C1D" w:rsidRPr="00C126D0" w:rsidRDefault="00C82058" w:rsidP="00630B13">
            <w:pPr>
              <w:spacing w:after="0"/>
              <w:rPr>
                <w:rFonts w:cstheme="minorHAnsi"/>
                <w:sz w:val="20"/>
                <w:szCs w:val="20"/>
              </w:rPr>
            </w:pPr>
            <w:r w:rsidRPr="00C82058">
              <w:rPr>
                <w:rFonts w:cstheme="minorHAnsi"/>
                <w:sz w:val="20"/>
                <w:szCs w:val="20"/>
              </w:rPr>
              <w:t>Assess the psychological resilience of children in the face of adversity.</w:t>
            </w:r>
          </w:p>
        </w:tc>
        <w:tc>
          <w:tcPr>
            <w:tcW w:w="1373" w:type="dxa"/>
            <w:hideMark/>
          </w:tcPr>
          <w:p w14:paraId="3A6CDFDB" w14:textId="77777777" w:rsidR="00956C1D" w:rsidRPr="00C126D0" w:rsidRDefault="00956C1D" w:rsidP="00630B13">
            <w:pPr>
              <w:spacing w:after="0"/>
              <w:rPr>
                <w:rFonts w:cstheme="minorHAnsi"/>
                <w:sz w:val="20"/>
                <w:szCs w:val="20"/>
              </w:rPr>
            </w:pPr>
            <w:r w:rsidRPr="00C126D0">
              <w:rPr>
                <w:rFonts w:cstheme="minorHAnsi"/>
                <w:sz w:val="20"/>
                <w:szCs w:val="20"/>
              </w:rPr>
              <w:t>Questionnaire survey</w:t>
            </w:r>
          </w:p>
        </w:tc>
        <w:tc>
          <w:tcPr>
            <w:tcW w:w="2408" w:type="dxa"/>
            <w:hideMark/>
          </w:tcPr>
          <w:p w14:paraId="7DD4B703" w14:textId="50872D72" w:rsidR="00956C1D" w:rsidRPr="00C126D0" w:rsidRDefault="00C82058" w:rsidP="00630B13">
            <w:pPr>
              <w:spacing w:after="0"/>
              <w:rPr>
                <w:rFonts w:cstheme="minorHAnsi"/>
                <w:sz w:val="20"/>
                <w:szCs w:val="20"/>
              </w:rPr>
            </w:pPr>
            <w:r w:rsidRPr="00C82058">
              <w:rPr>
                <w:rFonts w:cstheme="minorHAnsi"/>
                <w:sz w:val="20"/>
                <w:szCs w:val="20"/>
              </w:rPr>
              <w:t>Significant variations in the psychological resilience of children were identified.</w:t>
            </w:r>
          </w:p>
        </w:tc>
        <w:tc>
          <w:tcPr>
            <w:tcW w:w="2340" w:type="dxa"/>
            <w:hideMark/>
          </w:tcPr>
          <w:p w14:paraId="647DE1DA" w14:textId="6BAF4F38" w:rsidR="00956C1D" w:rsidRPr="00C126D0" w:rsidRDefault="00C82058" w:rsidP="00630B13">
            <w:pPr>
              <w:spacing w:after="0"/>
              <w:rPr>
                <w:rFonts w:cstheme="minorHAnsi"/>
                <w:sz w:val="20"/>
                <w:szCs w:val="20"/>
              </w:rPr>
            </w:pPr>
            <w:r w:rsidRPr="00C82058">
              <w:rPr>
                <w:rFonts w:cstheme="minorHAnsi"/>
                <w:sz w:val="20"/>
                <w:szCs w:val="20"/>
              </w:rPr>
              <w:t>A framework is presented for the evaluation and enhancement of children's resilience.</w:t>
            </w:r>
          </w:p>
        </w:tc>
      </w:tr>
      <w:tr w:rsidR="00956C1D" w:rsidRPr="00C126D0" w14:paraId="54D64B51" w14:textId="77777777" w:rsidTr="00956C1D">
        <w:trPr>
          <w:trHeight w:val="1598"/>
        </w:trPr>
        <w:tc>
          <w:tcPr>
            <w:tcW w:w="534" w:type="dxa"/>
          </w:tcPr>
          <w:p w14:paraId="4A496D8E" w14:textId="14F0A72D" w:rsidR="00956C1D" w:rsidRPr="00C126D0" w:rsidRDefault="00956C1D" w:rsidP="00630B13">
            <w:pPr>
              <w:spacing w:after="0"/>
              <w:rPr>
                <w:rFonts w:cstheme="minorHAnsi"/>
                <w:sz w:val="20"/>
                <w:szCs w:val="20"/>
              </w:rPr>
            </w:pPr>
            <w:r w:rsidRPr="00C126D0">
              <w:rPr>
                <w:rFonts w:cstheme="minorHAnsi"/>
                <w:color w:val="000000"/>
                <w:sz w:val="20"/>
                <w:szCs w:val="20"/>
              </w:rPr>
              <w:t>10</w:t>
            </w:r>
          </w:p>
        </w:tc>
        <w:tc>
          <w:tcPr>
            <w:tcW w:w="1321" w:type="dxa"/>
            <w:hideMark/>
          </w:tcPr>
          <w:p w14:paraId="74F13AC7" w14:textId="11178CFB" w:rsidR="00956C1D" w:rsidRPr="00C126D0" w:rsidRDefault="00956C1D" w:rsidP="00630B13">
            <w:pPr>
              <w:spacing w:after="0"/>
              <w:rPr>
                <w:rFonts w:cstheme="minorHAnsi"/>
                <w:sz w:val="20"/>
                <w:szCs w:val="20"/>
              </w:rPr>
            </w:pPr>
            <w:proofErr w:type="spellStart"/>
            <w:r w:rsidRPr="00C126D0">
              <w:rPr>
                <w:rFonts w:cstheme="minorHAnsi"/>
                <w:sz w:val="20"/>
                <w:szCs w:val="20"/>
              </w:rPr>
              <w:t>Gim</w:t>
            </w:r>
            <w:proofErr w:type="spellEnd"/>
            <w:r w:rsidRPr="00C126D0">
              <w:rPr>
                <w:rFonts w:cstheme="minorHAnsi"/>
                <w:sz w:val="20"/>
                <w:szCs w:val="20"/>
              </w:rPr>
              <w:t xml:space="preserve"> </w:t>
            </w:r>
            <w:r>
              <w:rPr>
                <w:rFonts w:cstheme="minorHAnsi"/>
                <w:sz w:val="20"/>
                <w:szCs w:val="20"/>
              </w:rPr>
              <w:t>and</w:t>
            </w:r>
            <w:r w:rsidRPr="00C126D0">
              <w:rPr>
                <w:rFonts w:cstheme="minorHAnsi"/>
                <w:sz w:val="20"/>
                <w:szCs w:val="20"/>
              </w:rPr>
              <w:t xml:space="preserve"> Shin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{"citationItems":[{"id":"ITEM-1","itemData":{"DOI":"10.1016/j.ijdrr.2022.103273","ISSN":"22124209","abstract":"This study examined general wellness, a broad concept that encompasses physical and mental illness, adjustment, and quality of life, and analyzed how vulnerability, hazards, and community resilience affect disaster survivors' wellness. This extends beyond the previous studies that mainly focused on single indicators related to the mental health of disaster victims or examined community resilience factors in a limited way. The Korean Long-term Survey on the Change of Life of Disaster Victim data were used for random-effect analysis to investigate socio-political factors affecting the wellness of disaster survivors based on the disaster vulnerability plus theory. Results show that even in the South Korean context where disaster response is carried out from an administrative-centered perspective, various community resilience factors have significant associations with the wellness of disaster survivors. High levels of social support and satisfaction with support policies were protective factors. Victims who experienced disasters in non-capital areas showed better wellness than those in the capital area. Conflict experiences exacerbated survivors' wellness. Finally, sense of community after disasters had a mixed effect in various domains of wellness and the level of satisfaction with government agencies' disaster response had no significant effect. In conclusion, community resilience has a great influence on disaster survivors' wellness because disasters create crises in terms of community capacity and individual wellness due to limited resources, conflicts regarding distribution of resources and compensation, severance of existing relationships, and the creation of new relationships. Improving community resilience may be crucial in ameliorating and resolving inequalities in the negative impact of disasters.","author":[{"dropping-particle":"","family":"Gim","given":"Jimin","non-dropping-particle":"","parse-names":false,"suffix":""},{"dropping-particle":"","family":"Shin","given":"Sangjoon","non-dropping-particle":"","parse-names":false,"suffix":""}],"container-title":"International Journal of Disaster Risk Reduction","id":"ITEM-1","issue":"September","issued":{"date-parts":[["2022"]]},"page":"103273","publisher":"Elsevier Ltd","title":"Disaster vulnerability and community resilience factors affecting post-disaster wellness: A longitudinal analysis of the Survey on the Change of Life of Disaster Victim","type":"article-journal","volume":"81"},"uris":["http://www.mendeley.com/documents/?uuid=a376f168-7e0f-486e-96f3-10064e1dd64b"]}],"mendeley":{"formattedCitation":"[10]","plainTextFormattedCitation":"[10]","previouslyFormattedCitation":"[10]"},"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[10]</w:t>
            </w:r>
            <w:r w:rsidRPr="00C126D0">
              <w:rPr>
                <w:rFonts w:cstheme="minorHAnsi"/>
                <w:sz w:val="20"/>
                <w:szCs w:val="20"/>
              </w:rPr>
              <w:fldChar w:fldCharType="end"/>
            </w:r>
          </w:p>
        </w:tc>
        <w:tc>
          <w:tcPr>
            <w:tcW w:w="2009" w:type="dxa"/>
            <w:hideMark/>
          </w:tcPr>
          <w:p w14:paraId="03E4AFF5" w14:textId="38DD70CF" w:rsidR="00956C1D" w:rsidRPr="00C126D0" w:rsidRDefault="00067D64" w:rsidP="00630B13">
            <w:pPr>
              <w:spacing w:after="0"/>
              <w:rPr>
                <w:rFonts w:cstheme="minorHAnsi"/>
                <w:sz w:val="20"/>
                <w:szCs w:val="20"/>
              </w:rPr>
            </w:pPr>
            <w:r>
              <w:rPr>
                <w:rFonts w:cstheme="minorHAnsi"/>
                <w:sz w:val="20"/>
                <w:szCs w:val="20"/>
              </w:rPr>
              <w:t>Explore</w:t>
            </w:r>
            <w:r w:rsidRPr="00067D64">
              <w:rPr>
                <w:rFonts w:cstheme="minorHAnsi"/>
                <w:sz w:val="20"/>
                <w:szCs w:val="20"/>
              </w:rPr>
              <w:t xml:space="preserve"> how vulnerability and resilience impact the health of disaster survivors.</w:t>
            </w:r>
          </w:p>
        </w:tc>
        <w:tc>
          <w:tcPr>
            <w:tcW w:w="1373" w:type="dxa"/>
            <w:hideMark/>
          </w:tcPr>
          <w:p w14:paraId="773EF935" w14:textId="77777777" w:rsidR="00956C1D" w:rsidRPr="00C126D0" w:rsidRDefault="00956C1D" w:rsidP="00630B13">
            <w:pPr>
              <w:spacing w:after="0"/>
              <w:rPr>
                <w:rFonts w:cstheme="minorHAnsi"/>
                <w:sz w:val="20"/>
                <w:szCs w:val="20"/>
              </w:rPr>
            </w:pPr>
            <w:r w:rsidRPr="00C126D0">
              <w:rPr>
                <w:rFonts w:cstheme="minorHAnsi"/>
                <w:sz w:val="20"/>
                <w:szCs w:val="20"/>
              </w:rPr>
              <w:t>Longitudinal analysis</w:t>
            </w:r>
          </w:p>
        </w:tc>
        <w:tc>
          <w:tcPr>
            <w:tcW w:w="2408" w:type="dxa"/>
            <w:hideMark/>
          </w:tcPr>
          <w:p w14:paraId="45EB50BA" w14:textId="0F55AFF1" w:rsidR="00956C1D" w:rsidRPr="00C126D0" w:rsidRDefault="00067D64" w:rsidP="00630B13">
            <w:pPr>
              <w:spacing w:after="0"/>
              <w:rPr>
                <w:rFonts w:cstheme="minorHAnsi"/>
                <w:sz w:val="20"/>
                <w:szCs w:val="20"/>
              </w:rPr>
            </w:pPr>
            <w:r w:rsidRPr="00067D64">
              <w:rPr>
                <w:rFonts w:cstheme="minorHAnsi"/>
                <w:sz w:val="20"/>
                <w:szCs w:val="20"/>
              </w:rPr>
              <w:t>Identified determinants of community resilience that impact wellness.</w:t>
            </w:r>
          </w:p>
        </w:tc>
        <w:tc>
          <w:tcPr>
            <w:tcW w:w="2340" w:type="dxa"/>
            <w:hideMark/>
          </w:tcPr>
          <w:p w14:paraId="6F84CDC1" w14:textId="77777777" w:rsidR="00956C1D" w:rsidRPr="00C126D0" w:rsidRDefault="00956C1D" w:rsidP="00630B13">
            <w:pPr>
              <w:spacing w:after="0"/>
              <w:rPr>
                <w:rFonts w:cstheme="minorHAnsi"/>
                <w:sz w:val="20"/>
                <w:szCs w:val="20"/>
              </w:rPr>
            </w:pPr>
            <w:r w:rsidRPr="00C126D0">
              <w:rPr>
                <w:rFonts w:cstheme="minorHAnsi"/>
                <w:sz w:val="20"/>
                <w:szCs w:val="20"/>
              </w:rPr>
              <w:t>Highlights the importance of improving community resilience.</w:t>
            </w:r>
          </w:p>
        </w:tc>
      </w:tr>
      <w:tr w:rsidR="00956C1D" w:rsidRPr="00C126D0" w14:paraId="5F5767EF" w14:textId="77777777" w:rsidTr="00956C1D">
        <w:trPr>
          <w:trHeight w:val="719"/>
        </w:trPr>
        <w:tc>
          <w:tcPr>
            <w:tcW w:w="534" w:type="dxa"/>
          </w:tcPr>
          <w:p w14:paraId="62D96128" w14:textId="6F4A25BD" w:rsidR="00956C1D" w:rsidRPr="00C126D0" w:rsidRDefault="00956C1D" w:rsidP="00630B13">
            <w:pPr>
              <w:spacing w:after="0"/>
              <w:rPr>
                <w:rFonts w:cstheme="minorHAnsi"/>
                <w:sz w:val="20"/>
                <w:szCs w:val="20"/>
              </w:rPr>
            </w:pPr>
            <w:r w:rsidRPr="00C126D0">
              <w:rPr>
                <w:rFonts w:cstheme="minorHAnsi"/>
                <w:color w:val="000000"/>
                <w:sz w:val="20"/>
                <w:szCs w:val="20"/>
              </w:rPr>
              <w:t>11</w:t>
            </w:r>
          </w:p>
        </w:tc>
        <w:tc>
          <w:tcPr>
            <w:tcW w:w="1321" w:type="dxa"/>
            <w:hideMark/>
          </w:tcPr>
          <w:p w14:paraId="3C1432F9" w14:textId="1B13571D" w:rsidR="00956C1D" w:rsidRPr="00C126D0" w:rsidRDefault="00956C1D" w:rsidP="00630B13">
            <w:pPr>
              <w:spacing w:after="0"/>
              <w:rPr>
                <w:rFonts w:cstheme="minorHAnsi"/>
                <w:sz w:val="20"/>
                <w:szCs w:val="20"/>
              </w:rPr>
            </w:pPr>
            <w:r w:rsidRPr="00C126D0">
              <w:rPr>
                <w:rFonts w:cstheme="minorHAnsi"/>
                <w:sz w:val="20"/>
                <w:szCs w:val="20"/>
              </w:rPr>
              <w:t xml:space="preserve">Ressler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{"citationItems":[{"id":"ITEM-1","itemData":{"DOI":"10.1016/j.ijdrr.2022.103390","ISSN":"22124209","abstract":"This paper considers the intersectionality of social capital and disasters as experienced by individuals with serious mental illness (SMI). Using a social capital framework, this analysis explores the factors contributing to social vulnerability among those with SMI and the paralleled barriers excluding this population from access to the collective resources that enable community recovery after a disaster. Connecting the key social mechanisms of engagement, empowerment, and endorsement respectively with bonding, bridging, and linking social capital, the article concludes with recommendations for the pre-disaster risk reduction and post-disaster resilience enhancement of community members with SMI.","author":[{"dropping-particle":"","family":"Ressler","given":"Jacob D.","non-dropping-particle":"","parse-names":false,"suffix":""}],"container-title":"International Journal of Disaster Risk Reduction","id":"ITEM-1","issue":"October","issued":{"date-parts":[["2022"]]},"page":"103390","publisher":"Elsevier Ltd","title":"Social capital, serious mental illness, and the intersection of disaster: Recommendations for enabling resilience","type":"article-journal","volume":"82"},"uris":["http://www.mendeley.com/documents/?uuid=bd318393-83b8-49b5-97d5-6136f4f1c106"]}],"mendeley":{"formattedCitation":"[11]","plainTextFormattedCitation":"[11]","previouslyFormattedCitation":"[11]"},"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[11]</w:t>
            </w:r>
            <w:r w:rsidRPr="00C126D0">
              <w:rPr>
                <w:rFonts w:cstheme="minorHAnsi"/>
                <w:sz w:val="20"/>
                <w:szCs w:val="20"/>
              </w:rPr>
              <w:fldChar w:fldCharType="end"/>
            </w:r>
          </w:p>
        </w:tc>
        <w:tc>
          <w:tcPr>
            <w:tcW w:w="2009" w:type="dxa"/>
            <w:hideMark/>
          </w:tcPr>
          <w:p w14:paraId="52D6C7D2" w14:textId="77777777" w:rsidR="00956C1D" w:rsidRPr="00C126D0" w:rsidRDefault="00956C1D" w:rsidP="00630B13">
            <w:pPr>
              <w:spacing w:after="0"/>
              <w:rPr>
                <w:rFonts w:cstheme="minorHAnsi"/>
                <w:sz w:val="20"/>
                <w:szCs w:val="20"/>
              </w:rPr>
            </w:pPr>
            <w:r w:rsidRPr="00C126D0">
              <w:rPr>
                <w:rFonts w:cstheme="minorHAnsi"/>
                <w:sz w:val="20"/>
                <w:szCs w:val="20"/>
              </w:rPr>
              <w:t>Explore the intersectionality of social capital and disasters for individuals with SMI.</w:t>
            </w:r>
          </w:p>
        </w:tc>
        <w:tc>
          <w:tcPr>
            <w:tcW w:w="1373" w:type="dxa"/>
            <w:hideMark/>
          </w:tcPr>
          <w:p w14:paraId="14BCAFDD" w14:textId="77777777"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hideMark/>
          </w:tcPr>
          <w:p w14:paraId="25B36C55" w14:textId="77777777" w:rsidR="00956C1D" w:rsidRPr="00C126D0" w:rsidRDefault="00956C1D" w:rsidP="00630B13">
            <w:pPr>
              <w:spacing w:after="0"/>
              <w:rPr>
                <w:rFonts w:cstheme="minorHAnsi"/>
                <w:sz w:val="20"/>
                <w:szCs w:val="20"/>
              </w:rPr>
            </w:pPr>
            <w:r w:rsidRPr="00C126D0">
              <w:rPr>
                <w:rFonts w:cstheme="minorHAnsi"/>
                <w:sz w:val="20"/>
                <w:szCs w:val="20"/>
              </w:rPr>
              <w:t>Identified barriers for individuals with SMI in accessing resources post-disaster.</w:t>
            </w:r>
          </w:p>
        </w:tc>
        <w:tc>
          <w:tcPr>
            <w:tcW w:w="2340" w:type="dxa"/>
            <w:hideMark/>
          </w:tcPr>
          <w:p w14:paraId="6F4FB172" w14:textId="240BFAD7" w:rsidR="00956C1D" w:rsidRPr="00C126D0" w:rsidRDefault="00956C1D" w:rsidP="00630B13">
            <w:pPr>
              <w:spacing w:after="0"/>
              <w:rPr>
                <w:rFonts w:cstheme="minorHAnsi"/>
                <w:sz w:val="20"/>
                <w:szCs w:val="20"/>
              </w:rPr>
            </w:pPr>
            <w:r w:rsidRPr="00C126D0">
              <w:rPr>
                <w:rFonts w:cstheme="minorHAnsi"/>
                <w:sz w:val="20"/>
                <w:szCs w:val="20"/>
              </w:rPr>
              <w:t xml:space="preserve">Provides recommendations for </w:t>
            </w:r>
            <w:r w:rsidR="00067D64">
              <w:rPr>
                <w:rFonts w:cstheme="minorHAnsi"/>
                <w:sz w:val="20"/>
                <w:szCs w:val="20"/>
              </w:rPr>
              <w:t>promoting</w:t>
            </w:r>
            <w:r w:rsidRPr="00C126D0">
              <w:rPr>
                <w:rFonts w:cstheme="minorHAnsi"/>
                <w:sz w:val="20"/>
                <w:szCs w:val="20"/>
              </w:rPr>
              <w:t xml:space="preserve"> resilience for individuals with SMI.</w:t>
            </w:r>
          </w:p>
        </w:tc>
      </w:tr>
      <w:tr w:rsidR="00956C1D" w:rsidRPr="00C126D0" w14:paraId="79A2162D" w14:textId="77777777" w:rsidTr="00956C1D">
        <w:trPr>
          <w:trHeight w:val="51"/>
        </w:trPr>
        <w:tc>
          <w:tcPr>
            <w:tcW w:w="534" w:type="dxa"/>
          </w:tcPr>
          <w:p w14:paraId="386CCB3B" w14:textId="0A96ACF0" w:rsidR="00956C1D" w:rsidRPr="00C126D0" w:rsidRDefault="00956C1D" w:rsidP="00630B13">
            <w:pPr>
              <w:spacing w:after="0"/>
              <w:rPr>
                <w:rFonts w:cstheme="minorHAnsi"/>
                <w:sz w:val="20"/>
                <w:szCs w:val="20"/>
              </w:rPr>
            </w:pPr>
            <w:r w:rsidRPr="00C126D0">
              <w:rPr>
                <w:rFonts w:cstheme="minorHAnsi"/>
                <w:color w:val="000000"/>
                <w:sz w:val="20"/>
                <w:szCs w:val="20"/>
              </w:rPr>
              <w:t>12</w:t>
            </w:r>
          </w:p>
        </w:tc>
        <w:tc>
          <w:tcPr>
            <w:tcW w:w="1321" w:type="dxa"/>
            <w:hideMark/>
          </w:tcPr>
          <w:p w14:paraId="373B300A" w14:textId="3A599E1B" w:rsidR="00956C1D" w:rsidRPr="00C126D0" w:rsidRDefault="00956C1D" w:rsidP="00630B13">
            <w:pPr>
              <w:spacing w:after="0"/>
              <w:rPr>
                <w:rFonts w:cstheme="minorHAnsi"/>
                <w:sz w:val="20"/>
                <w:szCs w:val="20"/>
              </w:rPr>
            </w:pPr>
            <w:proofErr w:type="spellStart"/>
            <w:r w:rsidRPr="00C126D0">
              <w:rPr>
                <w:rFonts w:cstheme="minorHAnsi"/>
                <w:sz w:val="20"/>
                <w:szCs w:val="20"/>
              </w:rPr>
              <w:t>Ssennoga</w:t>
            </w:r>
            <w:proofErr w:type="spellEnd"/>
            <w:r w:rsidRPr="00C126D0">
              <w:rPr>
                <w:rFonts w:cstheme="minorHAnsi"/>
                <w:sz w:val="20"/>
                <w:szCs w:val="20"/>
              </w:rPr>
              <w:t xml:space="preserve">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{"citationItems":[{"id":"ITEM-1","itemData":{"DOI":"10.1016/j.ijdrr.2022.103212","ISSN":"22124209","abstract":"The resilience of persons with disabilities in landslide-prone areas is not well understood. Moreover, these disasters are persistent and this information is vital in enhancing socioeconomic transformation of the livelihoods of Persons with disabilities. We anchored the resilience of Persons with disabilities to landslide hazards on four factors, namely; risk exposure, socioeconomic capacity, the individual functioning capacity, and the individual's housing infrastructure. The objectives of the study were (i) to assess the level of resilience of Persons with disabilities to landslides and (ii) to explore the significant sociodemographic factors that underpin the resilience of Persons with disabilities to landslides. We used a cross-sectional design and snowball sampling to access the households respondents for interviews. The analysis included descriptive analysis and inferential statistics computed using in Statistical Package for Social Sciences (SPSS) Version 23 and Microsoft Excel version 2016. The geometric mean method was used to assess the level of resilience. The Chisquare and Kendals' Tau-b were used to ascertain the underpinning sociodemographic factors to the resilience of Persons with disabilities. Results revealed that the overall resilience was low. Sex, education level, and access to disaster training significantly controlled resilience among Persons with disabilities. We conclude that Persons with disabilities in landslideprone areas have low resilience and receive little attention with respect to rescue and recovery amidst these recurrent hazards in the area. There is a need to boost the resilience of Persons with disabilities, especially the housing infrastructure and functioning capacity taking into account their social networks to build the socioeconomic and preparedness wings of disaster resilience among Persons with disabilities.","author":[{"dropping-particle":"","family":"Ssennoga","given":"Martin","non-dropping-particle":"","parse-names":false,"suffix":""},{"dropping-particle":"","family":"Kisira","given":"Yeeko","non-dropping-particle":"","parse-names":false,"suffix":""},{"dropping-particle":"","family":"Mugagga","given":"Frank","non-dropping-particle":"","parse-names":false,"suffix":""},{"dropping-particle":"","family":"Nadhomi","given":"Daniel","non-dropping-particle":"","parse-names":false,"suffix":""}],"container-title":"International Journal of Disaster Risk Reduction","id":"ITEM-1","issue":"April","issued":{"date-parts":[["2022"]]},"page":"103212","publisher":"Elsevier Ltd","title":"Resilience of persons with disabilities to climate induced landslide hazards in the vulnerable areas of Mount Elgon, Uganda","type":"article-journal","volume":"80"},"uris":["http://www.mendeley.com/documents/?uuid=e5957bc9-b6aa-4242-b674-f42c64385c72"]}],"mendeley":{"formattedCitation":"[12]","plainTextFormattedCitation":"[12]","previouslyFormattedCitation":"[12]"},"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[12]</w:t>
            </w:r>
            <w:r w:rsidRPr="00C126D0">
              <w:rPr>
                <w:rFonts w:cstheme="minorHAnsi"/>
                <w:sz w:val="20"/>
                <w:szCs w:val="20"/>
              </w:rPr>
              <w:fldChar w:fldCharType="end"/>
            </w:r>
          </w:p>
        </w:tc>
        <w:tc>
          <w:tcPr>
            <w:tcW w:w="2009" w:type="dxa"/>
            <w:hideMark/>
          </w:tcPr>
          <w:p w14:paraId="6EDEAADC" w14:textId="77777777" w:rsidR="00956C1D" w:rsidRPr="00C126D0" w:rsidRDefault="00956C1D" w:rsidP="00630B13">
            <w:pPr>
              <w:spacing w:after="0"/>
              <w:rPr>
                <w:rFonts w:cstheme="minorHAnsi"/>
                <w:sz w:val="20"/>
                <w:szCs w:val="20"/>
              </w:rPr>
            </w:pPr>
            <w:r w:rsidRPr="00C126D0">
              <w:rPr>
                <w:rFonts w:cstheme="minorHAnsi"/>
                <w:sz w:val="20"/>
                <w:szCs w:val="20"/>
              </w:rPr>
              <w:t>Understand the resilience of persons with disabilities in landslide-prone areas.</w:t>
            </w:r>
          </w:p>
        </w:tc>
        <w:tc>
          <w:tcPr>
            <w:tcW w:w="1373" w:type="dxa"/>
            <w:hideMark/>
          </w:tcPr>
          <w:p w14:paraId="6F4DBF5E" w14:textId="77777777" w:rsidR="00956C1D" w:rsidRPr="00C126D0" w:rsidRDefault="00956C1D" w:rsidP="00630B13">
            <w:pPr>
              <w:spacing w:after="0"/>
              <w:rPr>
                <w:rFonts w:cstheme="minorHAnsi"/>
                <w:sz w:val="20"/>
                <w:szCs w:val="20"/>
              </w:rPr>
            </w:pPr>
            <w:r w:rsidRPr="00C126D0">
              <w:rPr>
                <w:rFonts w:cstheme="minorHAnsi"/>
                <w:sz w:val="20"/>
                <w:szCs w:val="20"/>
              </w:rPr>
              <w:t>Cross-sectional design</w:t>
            </w:r>
          </w:p>
        </w:tc>
        <w:tc>
          <w:tcPr>
            <w:tcW w:w="2408" w:type="dxa"/>
            <w:hideMark/>
          </w:tcPr>
          <w:p w14:paraId="14B36652" w14:textId="51D3DD57" w:rsidR="00956C1D" w:rsidRPr="00C126D0" w:rsidRDefault="00067D64" w:rsidP="00630B13">
            <w:pPr>
              <w:spacing w:after="0"/>
              <w:rPr>
                <w:rFonts w:cstheme="minorHAnsi"/>
                <w:sz w:val="20"/>
                <w:szCs w:val="20"/>
              </w:rPr>
            </w:pPr>
            <w:r w:rsidRPr="00C126D0">
              <w:rPr>
                <w:rFonts w:cstheme="minorHAnsi"/>
                <w:sz w:val="20"/>
                <w:szCs w:val="20"/>
              </w:rPr>
              <w:t>People</w:t>
            </w:r>
            <w:r w:rsidR="00956C1D" w:rsidRPr="00C126D0">
              <w:rPr>
                <w:rFonts w:cstheme="minorHAnsi"/>
                <w:sz w:val="20"/>
                <w:szCs w:val="20"/>
              </w:rPr>
              <w:t xml:space="preserve"> with disabilities in landslide-prone areas have low resilience.</w:t>
            </w:r>
          </w:p>
        </w:tc>
        <w:tc>
          <w:tcPr>
            <w:tcW w:w="2340" w:type="dxa"/>
            <w:hideMark/>
          </w:tcPr>
          <w:p w14:paraId="4169244B" w14:textId="5831A721" w:rsidR="00956C1D" w:rsidRPr="00C126D0" w:rsidRDefault="00956C1D" w:rsidP="00630B13">
            <w:pPr>
              <w:spacing w:after="0"/>
              <w:rPr>
                <w:rFonts w:cstheme="minorHAnsi"/>
                <w:sz w:val="20"/>
                <w:szCs w:val="20"/>
              </w:rPr>
            </w:pPr>
            <w:r w:rsidRPr="00C126D0">
              <w:rPr>
                <w:rFonts w:cstheme="minorHAnsi"/>
                <w:sz w:val="20"/>
                <w:szCs w:val="20"/>
              </w:rPr>
              <w:t>Calls for enhancing the resilience of disab</w:t>
            </w:r>
            <w:r w:rsidR="00067D64">
              <w:rPr>
                <w:rFonts w:cstheme="minorHAnsi"/>
                <w:sz w:val="20"/>
                <w:szCs w:val="20"/>
              </w:rPr>
              <w:t>le people</w:t>
            </w:r>
            <w:r w:rsidRPr="00C126D0">
              <w:rPr>
                <w:rFonts w:cstheme="minorHAnsi"/>
                <w:sz w:val="20"/>
                <w:szCs w:val="20"/>
              </w:rPr>
              <w:t>.</w:t>
            </w:r>
          </w:p>
        </w:tc>
      </w:tr>
      <w:tr w:rsidR="00956C1D" w:rsidRPr="00C126D0" w14:paraId="7172EDF9" w14:textId="77777777" w:rsidTr="00956C1D">
        <w:trPr>
          <w:trHeight w:val="260"/>
        </w:trPr>
        <w:tc>
          <w:tcPr>
            <w:tcW w:w="534" w:type="dxa"/>
          </w:tcPr>
          <w:p w14:paraId="3F40F6D3" w14:textId="51752E9B" w:rsidR="00956C1D" w:rsidRPr="00C126D0" w:rsidRDefault="00956C1D" w:rsidP="00630B13">
            <w:pPr>
              <w:spacing w:after="0"/>
              <w:rPr>
                <w:rFonts w:cstheme="minorHAnsi"/>
                <w:sz w:val="20"/>
                <w:szCs w:val="20"/>
              </w:rPr>
            </w:pPr>
            <w:r w:rsidRPr="00C126D0">
              <w:rPr>
                <w:rFonts w:cstheme="minorHAnsi"/>
                <w:color w:val="000000"/>
                <w:sz w:val="20"/>
                <w:szCs w:val="20"/>
              </w:rPr>
              <w:t>13</w:t>
            </w:r>
          </w:p>
        </w:tc>
        <w:tc>
          <w:tcPr>
            <w:tcW w:w="1321" w:type="dxa"/>
            <w:hideMark/>
          </w:tcPr>
          <w:p w14:paraId="5A39C0BF" w14:textId="42971DA8" w:rsidR="00956C1D" w:rsidRPr="00C126D0" w:rsidRDefault="00956C1D" w:rsidP="00630B13">
            <w:pPr>
              <w:spacing w:after="0"/>
              <w:rPr>
                <w:rFonts w:cstheme="minorHAnsi"/>
                <w:sz w:val="20"/>
                <w:szCs w:val="20"/>
              </w:rPr>
            </w:pPr>
            <w:r w:rsidRPr="00C126D0">
              <w:rPr>
                <w:rFonts w:cstheme="minorHAnsi"/>
                <w:sz w:val="20"/>
                <w:szCs w:val="20"/>
              </w:rPr>
              <w:t xml:space="preserve">Khan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{"citationItems":[{"id":"ITEM-1","itemData":{"DOI":"10.1016/j.jclepro.2022.132937","ISSN":"09596526","abstract":"The occurrence of natural hazards on the earth is as universal as this universe. Though difficult to avoid or control, however, increasing resilience remains a crucial coping mechanism for disasters. This study focuses on the first target (SDG-13.1) of “Climate Action” which entails strengthening country-specific resilience and adaptive capacity towards natural disasters. Thus, we develop a novel comprehensive disaster resilience index that captures economic stability, emergency workforce, agricultural development, human capital, digitalization, infrastructure, governance, social capital, and women empowerment. We apply IMF index-making methodology using panel data of 62 indicators from 1995 to 2019 across 24 developed and 67 developing countries. Resilience index was higher in high-income countries (0.674) followed by upper-middle (0.463), lower-middle (0.372), and low (0.314) income economies. The top 5 countries with high resilience scores include Switzerland (0.789), Germany (0.777), France (0.751), New Zealand (0.749), and Australia (0.733). Disaster resilience score in 2019 was (a) greater than 0.7 for 9 countries, (b) between 0.5 and 0.7 for 31 countries, (c) between 0.3 and 0.5 for 44 countries, and (d) less than 0.3 for 7 countries. Our study recommends improvement in disaster resilience through risk-informed strategies (i.e., rescue and medical care services, early warning systems, training, and the latest technologies). It is recommended for low resilience countries to (a) increase the health budget and upgrade hospitals, (b) ensure economic stability and food security through agricultural growth and financial development, (c) enhance social and human capital, (d) introduce institutional reforms, and (e) empower women. Thus, improving resilience for preparedness, restoration, and loss minimization underpin the pathway towards risk-informed sustainable development.","author":[{"dropping-particle":"","family":"Khan","given":"Muhammad Tariq Iqbal","non-dropping-particle":"","parse-names":false,"suffix":""},{"dropping-particle":"","family":"Anwar","given":"Sofia","non-dropping-particle":"","parse-names":false,"suffix":""},{"dropping-particle":"","family":"Sarkodie","given":"Samuel Asumadu","non-dropping-particle":"","parse-names":false,"suffix":""},{"dropping-particle":"","family":"Yaseen","given":"Muhammad Rizwan","non-dropping-particle":"","parse-names":false,"suffix":""},{"dropping-particle":"","family":"Nadeem","given":"Abdul Majeed","non-dropping-particle":"","parse-names":false,"suffix":""},{"dropping-particle":"","family":"Ali","given":"Qamar","non-dropping-particle":"","parse-names":false,"suffix":""}],"container-title":"Journal of Cleaner Production","id":"ITEM-1","issue":"February","issued":{"date-parts":[["2022"]]},"page":"132937","publisher":"Elsevier Ltd","title":"Comprehensive disaster resilience index: Pathway towards risk-informed sustainable development","type":"article-journal","volume":"366"},"uris":["http://www.mendeley.com/documents/?uuid=f0ed9811-7b7c-4734-bb79-8dfceab8f547"]}],"mendeley":{"formattedCitation":"[13]","plainTextFormattedCitation":"[13]","previouslyFormattedCitation":"[13]"},"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[13]</w:t>
            </w:r>
            <w:r w:rsidRPr="00C126D0">
              <w:rPr>
                <w:rFonts w:cstheme="minorHAnsi"/>
                <w:sz w:val="20"/>
                <w:szCs w:val="20"/>
              </w:rPr>
              <w:fldChar w:fldCharType="end"/>
            </w:r>
          </w:p>
        </w:tc>
        <w:tc>
          <w:tcPr>
            <w:tcW w:w="2009" w:type="dxa"/>
            <w:hideMark/>
          </w:tcPr>
          <w:p w14:paraId="5AFABA54" w14:textId="58B3B114" w:rsidR="00956C1D" w:rsidRPr="00C126D0" w:rsidRDefault="00956C1D" w:rsidP="00630B13">
            <w:pPr>
              <w:spacing w:after="0"/>
              <w:rPr>
                <w:rFonts w:cstheme="minorHAnsi"/>
                <w:sz w:val="20"/>
                <w:szCs w:val="20"/>
              </w:rPr>
            </w:pPr>
            <w:r w:rsidRPr="00C126D0">
              <w:rPr>
                <w:rFonts w:cstheme="minorHAnsi"/>
                <w:sz w:val="20"/>
                <w:szCs w:val="20"/>
              </w:rPr>
              <w:t>Develop a</w:t>
            </w:r>
            <w:r w:rsidR="00067D64">
              <w:rPr>
                <w:rFonts w:cstheme="minorHAnsi"/>
                <w:sz w:val="20"/>
                <w:szCs w:val="20"/>
              </w:rPr>
              <w:t>n</w:t>
            </w:r>
            <w:r w:rsidRPr="00C126D0">
              <w:rPr>
                <w:rFonts w:cstheme="minorHAnsi"/>
                <w:sz w:val="20"/>
                <w:szCs w:val="20"/>
              </w:rPr>
              <w:t xml:space="preserve"> </w:t>
            </w:r>
            <w:r w:rsidR="00067D64" w:rsidRPr="00C126D0">
              <w:rPr>
                <w:rFonts w:cstheme="minorHAnsi"/>
                <w:sz w:val="20"/>
                <w:szCs w:val="20"/>
              </w:rPr>
              <w:t>inclusive</w:t>
            </w:r>
            <w:r w:rsidRPr="00C126D0">
              <w:rPr>
                <w:rFonts w:cstheme="minorHAnsi"/>
                <w:sz w:val="20"/>
                <w:szCs w:val="20"/>
              </w:rPr>
              <w:t xml:space="preserve"> disaster resilience index.</w:t>
            </w:r>
          </w:p>
        </w:tc>
        <w:tc>
          <w:tcPr>
            <w:tcW w:w="1373" w:type="dxa"/>
            <w:hideMark/>
          </w:tcPr>
          <w:p w14:paraId="5FCB07BF" w14:textId="77777777" w:rsidR="00956C1D" w:rsidRPr="00C126D0" w:rsidRDefault="00956C1D" w:rsidP="00630B13">
            <w:pPr>
              <w:spacing w:after="0"/>
              <w:rPr>
                <w:rFonts w:cstheme="minorHAnsi"/>
                <w:sz w:val="20"/>
                <w:szCs w:val="20"/>
              </w:rPr>
            </w:pPr>
            <w:r w:rsidRPr="00C126D0">
              <w:rPr>
                <w:rFonts w:cstheme="minorHAnsi"/>
                <w:sz w:val="20"/>
                <w:szCs w:val="20"/>
              </w:rPr>
              <w:t>IMF index-making methodology</w:t>
            </w:r>
          </w:p>
        </w:tc>
        <w:tc>
          <w:tcPr>
            <w:tcW w:w="2408" w:type="dxa"/>
            <w:hideMark/>
          </w:tcPr>
          <w:p w14:paraId="0AF5256C" w14:textId="77777777" w:rsidR="00956C1D" w:rsidRPr="00C126D0" w:rsidRDefault="00956C1D" w:rsidP="00630B13">
            <w:pPr>
              <w:spacing w:after="0"/>
              <w:rPr>
                <w:rFonts w:cstheme="minorHAnsi"/>
                <w:sz w:val="20"/>
                <w:szCs w:val="20"/>
              </w:rPr>
            </w:pPr>
            <w:r w:rsidRPr="00C126D0">
              <w:rPr>
                <w:rFonts w:cstheme="minorHAnsi"/>
                <w:sz w:val="20"/>
                <w:szCs w:val="20"/>
              </w:rPr>
              <w:t>Developed a novel resilience index capturing multiple factors.</w:t>
            </w:r>
          </w:p>
        </w:tc>
        <w:tc>
          <w:tcPr>
            <w:tcW w:w="2340" w:type="dxa"/>
            <w:hideMark/>
          </w:tcPr>
          <w:p w14:paraId="79A95D73" w14:textId="77777777" w:rsidR="00956C1D" w:rsidRPr="00C126D0" w:rsidRDefault="00956C1D" w:rsidP="00630B13">
            <w:pPr>
              <w:spacing w:after="0"/>
              <w:rPr>
                <w:rFonts w:cstheme="minorHAnsi"/>
                <w:sz w:val="20"/>
                <w:szCs w:val="20"/>
              </w:rPr>
            </w:pPr>
            <w:r w:rsidRPr="00C126D0">
              <w:rPr>
                <w:rFonts w:cstheme="minorHAnsi"/>
                <w:sz w:val="20"/>
                <w:szCs w:val="20"/>
              </w:rPr>
              <w:t>Provides recommendations for improving resilience in various countries.</w:t>
            </w:r>
          </w:p>
        </w:tc>
      </w:tr>
      <w:tr w:rsidR="00956C1D" w:rsidRPr="00C126D0" w14:paraId="1C02EE83" w14:textId="77777777" w:rsidTr="00956C1D">
        <w:trPr>
          <w:trHeight w:val="89"/>
        </w:trPr>
        <w:tc>
          <w:tcPr>
            <w:tcW w:w="534" w:type="dxa"/>
          </w:tcPr>
          <w:p w14:paraId="3E5D29F2" w14:textId="1789CBB9" w:rsidR="00956C1D" w:rsidRPr="00C126D0" w:rsidRDefault="00956C1D" w:rsidP="00630B13">
            <w:pPr>
              <w:spacing w:after="0"/>
              <w:rPr>
                <w:rFonts w:cstheme="minorHAnsi"/>
                <w:sz w:val="20"/>
                <w:szCs w:val="20"/>
              </w:rPr>
            </w:pPr>
            <w:r w:rsidRPr="00C126D0">
              <w:rPr>
                <w:rFonts w:cstheme="minorHAnsi"/>
                <w:color w:val="000000"/>
                <w:sz w:val="20"/>
                <w:szCs w:val="20"/>
              </w:rPr>
              <w:t>14</w:t>
            </w:r>
          </w:p>
        </w:tc>
        <w:tc>
          <w:tcPr>
            <w:tcW w:w="1321" w:type="dxa"/>
            <w:hideMark/>
          </w:tcPr>
          <w:p w14:paraId="61206A8F" w14:textId="2A01B36D" w:rsidR="00956C1D" w:rsidRPr="00C126D0" w:rsidRDefault="00956C1D" w:rsidP="00630B13">
            <w:pPr>
              <w:spacing w:after="0"/>
              <w:rPr>
                <w:rFonts w:cstheme="minorHAnsi"/>
                <w:sz w:val="20"/>
                <w:szCs w:val="20"/>
              </w:rPr>
            </w:pPr>
            <w:r w:rsidRPr="00C126D0">
              <w:rPr>
                <w:rFonts w:cstheme="minorHAnsi"/>
                <w:sz w:val="20"/>
                <w:szCs w:val="20"/>
              </w:rPr>
              <w:t xml:space="preserve">Gerges F,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{"citationItems":[{"id":"ITEM-1","itemData":{"DOI":"10.1016/j.scitotenv.2022.160187","ISSN":"18791026","PMID":"36395828","abstract":"The resilience of communities has emerged as a major goal in policy and practice. Cities, states, and counties within the United States and around the world are passing laws requiring the incorporation of climate-related hazard vulnerability assessments within their master plan updates for resilience planning and design. The resilience of communities under present and future scenarios is thus becoming a cornerstone of decision making and actions. Decisions that would enhance resilience, however, span multiple sectors and involve various stakeholders. Quantifying community resilience is a key step in order to describe the preparedness level of communities, and subsequently locating non-resilient areas to further enhance their capacity to endure disasters. Two main approaches are currently being pursued to evaluate resilience. The first approach is the “community resilience” developed mainly by social scientists and planners, and it captures social resilience using numerous pre-disaster attributes to describe the functioning of a community. This approach subsumes that pre-disaster attributes can predict the community resilience to a disaster. The second approach is adopted for infrastructure resilience, mostly used by engineers, and it focuses on robustness, redundancy, resourcefulness, and rapidity. This approach is appropriate for systems that are operated by highly skilled personnel and where the actions are of engineering type. In this paper, we provide an overview of the two approaches, and we leverage their limitations to propose a hybrid approach that combines community and infrastructure capitals into an Area Resilience metric, called ARez. ARez captures the role/impact of both infrastructure and community and combines five sectors: energy, public health, natural ecosystem, socio-economic, and transportation. We present a proof-of-concept for the ARez metric, showing its practicality and applicability as a direct measure for resilience, over various time scales.","author":[{"dropping-particle":"","family":"Gerges","given":"Firas","non-dropping-particle":"","parse-names":false,"suffix":""},{"dropping-particle":"","family":"Assaad","given":"Rayan H.","non-dropping-particle":"","parse-names":false,"suffix":""},{"dropping-particle":"","family":"Nassif","given":"Hani","non-dropping-particle":"","parse-names":false,"suffix":""},{"dropping-particle":"","family":"Bou-Zeid","given":"Elie","non-dropping-particle":"","parse-names":false,"suffix":""},{"dropping-particle":"","family":"Boufadel","given":"Michel C.","non-dropping-particle":"","parse-names":false,"suffix":""}],"container-title":"Science of the Total Environment","id":"ITEM-1","issue":"September 2022","issued":{"date-parts":[["2023"]]},"page":"160187","publisher":"The Authors","title":"A perspective on quantifying resilience: Combining community and infrastructure capitals","type":"article-journal","volume":"859"},"uris":["http://www.mendeley.com/documents/?uuid=7dd85283-ea95-4e67-8a52-ba40676bdb40"]}],"mendeley":{"formattedCitation":"[14]","plainTextFormattedCitation":"[14]","previouslyFormattedCitation":"[14]"},"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[14]</w:t>
            </w:r>
            <w:r w:rsidRPr="00C126D0">
              <w:rPr>
                <w:rFonts w:cstheme="minorHAnsi"/>
                <w:sz w:val="20"/>
                <w:szCs w:val="20"/>
              </w:rPr>
              <w:fldChar w:fldCharType="end"/>
            </w:r>
          </w:p>
        </w:tc>
        <w:tc>
          <w:tcPr>
            <w:tcW w:w="2009" w:type="dxa"/>
            <w:hideMark/>
          </w:tcPr>
          <w:p w14:paraId="53B01E1F" w14:textId="77777777" w:rsidR="00956C1D" w:rsidRPr="00C126D0" w:rsidRDefault="00956C1D" w:rsidP="00630B13">
            <w:pPr>
              <w:spacing w:after="0"/>
              <w:rPr>
                <w:rFonts w:cstheme="minorHAnsi"/>
                <w:sz w:val="20"/>
                <w:szCs w:val="20"/>
              </w:rPr>
            </w:pPr>
            <w:r w:rsidRPr="00C126D0">
              <w:rPr>
                <w:rFonts w:cstheme="minorHAnsi"/>
                <w:sz w:val="20"/>
                <w:szCs w:val="20"/>
              </w:rPr>
              <w:t>Propose a hybrid approach for quantifying resilience.</w:t>
            </w:r>
          </w:p>
        </w:tc>
        <w:tc>
          <w:tcPr>
            <w:tcW w:w="1373" w:type="dxa"/>
            <w:hideMark/>
          </w:tcPr>
          <w:p w14:paraId="2680803A" w14:textId="77777777"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hideMark/>
          </w:tcPr>
          <w:p w14:paraId="2AC3F94E" w14:textId="77777777" w:rsidR="00956C1D" w:rsidRPr="00C126D0" w:rsidRDefault="00956C1D" w:rsidP="00630B13">
            <w:pPr>
              <w:spacing w:after="0"/>
              <w:rPr>
                <w:rFonts w:cstheme="minorHAnsi"/>
                <w:sz w:val="20"/>
                <w:szCs w:val="20"/>
              </w:rPr>
            </w:pPr>
            <w:r w:rsidRPr="00C126D0">
              <w:rPr>
                <w:rFonts w:cstheme="minorHAnsi"/>
                <w:sz w:val="20"/>
                <w:szCs w:val="20"/>
              </w:rPr>
              <w:t>Proposed a metric combining community and infrastructure capitals.</w:t>
            </w:r>
          </w:p>
        </w:tc>
        <w:tc>
          <w:tcPr>
            <w:tcW w:w="2340" w:type="dxa"/>
            <w:hideMark/>
          </w:tcPr>
          <w:p w14:paraId="3B3FDCB5" w14:textId="77777777" w:rsidR="00956C1D" w:rsidRPr="00C126D0" w:rsidRDefault="00956C1D" w:rsidP="00630B13">
            <w:pPr>
              <w:spacing w:after="0"/>
              <w:rPr>
                <w:rFonts w:cstheme="minorHAnsi"/>
                <w:sz w:val="20"/>
                <w:szCs w:val="20"/>
              </w:rPr>
            </w:pPr>
            <w:r w:rsidRPr="00C126D0">
              <w:rPr>
                <w:rFonts w:cstheme="minorHAnsi"/>
                <w:sz w:val="20"/>
                <w:szCs w:val="20"/>
              </w:rPr>
              <w:t>Offers a new approach for measuring resilience.</w:t>
            </w:r>
          </w:p>
        </w:tc>
      </w:tr>
      <w:tr w:rsidR="00956C1D" w:rsidRPr="00C126D0" w14:paraId="57E1CE0F" w14:textId="77777777" w:rsidTr="00956C1D">
        <w:trPr>
          <w:trHeight w:val="710"/>
        </w:trPr>
        <w:tc>
          <w:tcPr>
            <w:tcW w:w="534" w:type="dxa"/>
          </w:tcPr>
          <w:p w14:paraId="1A5507D3" w14:textId="1C5942C3" w:rsidR="00956C1D" w:rsidRPr="00C126D0" w:rsidRDefault="00956C1D" w:rsidP="00630B13">
            <w:pPr>
              <w:spacing w:after="0"/>
              <w:rPr>
                <w:rFonts w:cstheme="minorHAnsi"/>
                <w:sz w:val="20"/>
                <w:szCs w:val="20"/>
              </w:rPr>
            </w:pPr>
            <w:r w:rsidRPr="00C126D0">
              <w:rPr>
                <w:rFonts w:cstheme="minorHAnsi"/>
                <w:color w:val="000000"/>
                <w:sz w:val="20"/>
                <w:szCs w:val="20"/>
              </w:rPr>
              <w:t>15</w:t>
            </w:r>
          </w:p>
        </w:tc>
        <w:tc>
          <w:tcPr>
            <w:tcW w:w="1321" w:type="dxa"/>
          </w:tcPr>
          <w:p w14:paraId="0AB8E301" w14:textId="238BBB24" w:rsidR="00956C1D" w:rsidRPr="00C126D0" w:rsidRDefault="00956C1D" w:rsidP="00630B13">
            <w:pPr>
              <w:spacing w:after="0"/>
              <w:rPr>
                <w:rFonts w:cstheme="minorHAnsi"/>
                <w:sz w:val="20"/>
                <w:szCs w:val="20"/>
              </w:rPr>
            </w:pPr>
            <w:r w:rsidRPr="00C126D0">
              <w:rPr>
                <w:rFonts w:cstheme="minorHAnsi"/>
                <w:sz w:val="20"/>
                <w:szCs w:val="20"/>
              </w:rPr>
              <w:t xml:space="preserve">Berke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{"citationItems":[{"id":"ITEM-1","itemData":{"DOI":"10.1016/j.cities.2021.103408","ISSN":"02642751","abstract":"Communities adopt multiple plans that directly and indirectly address the effects of hazards and climate change. A major obstacle to responding to the growing threats is poor integration of individual planning efforts that govern land use and development. We explore application of a Plan Integration of Resilience Scorecard (PIRS) in the U.S. cities of Nashua and Norfolk that involved a partnership between university experts and local government staff to assess the degree to which networks of local plans are coordinated and target hazardous areas. A team of local evaluators in each city found that plans are not fully consistent; moreover, some plans actually increase vulnerability. Outcomes from learning and engagement vary. Nashua included a broad network of stakeholder groups, but Norfolk was more focused on elected officials and neighbourhood groups. Nashua amended its hazard mitigation plan, reorganized the permitting process, and used crowdsourcing technologies to encourage public participation. Norfolk revised its comprehensive plan to improve coordination with other plans, prioritized funding to redress environmental injustices, and strengthened location standards for new infrastructure. PIRS represents a potential model that communities can use to respond to global calls to catalyse a shift from independent resilience operations to longer-term, more coordinated planning.","author":[{"dropping-particle":"","family":"Berke","given":"Philip","non-dropping-particle":"","parse-names":false,"suffix":""},{"dropping-particle":"","family":"Kates","given":"Justin","non-dropping-particle":"","parse-names":false,"suffix":""},{"dropping-particle":"","family":"Malecha","given":"Matt","non-dropping-particle":"","parse-names":false,"suffix":""},{"dropping-particle":"","family":"Masterson","given":"Jaimie","non-dropping-particle":"","parse-names":false,"suffix":""},{"dropping-particle":"","family":"Shea","given":"Paula","non-dropping-particle":"","parse-names":false,"suffix":""},{"dropping-particle":"","family":"Yu","given":"Siyu","non-dropping-particle":"","parse-names":false,"suffix":""}],"container-title":"Cities","id":"ITEM-1","issue":"May","issued":{"date-parts":[["2021"]]},"page":"103408","publisher":"Elsevier Ltd","title":"Using a resilience scorecard to improve local planning for vulnerability to hazards and climate change: An application in two cities","type":"article-journal","volume":"119"},"uris":["http://www.mendeley.com/documents/?uuid=da9c9076-df56-41f1-9652-ca6c95601c7c"]}],"mendeley":{"formattedCitation":"[15]","plainTextFormattedCitation":"[15]","previouslyFormattedCitation":"[15]"},"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[15]</w:t>
            </w:r>
            <w:r w:rsidRPr="00C126D0">
              <w:rPr>
                <w:rFonts w:cstheme="minorHAnsi"/>
                <w:sz w:val="20"/>
                <w:szCs w:val="20"/>
              </w:rPr>
              <w:fldChar w:fldCharType="end"/>
            </w:r>
          </w:p>
        </w:tc>
        <w:tc>
          <w:tcPr>
            <w:tcW w:w="2009" w:type="dxa"/>
          </w:tcPr>
          <w:p w14:paraId="1C960A61" w14:textId="237395C9" w:rsidR="00956C1D" w:rsidRPr="00C126D0" w:rsidRDefault="00067D64" w:rsidP="00630B13">
            <w:pPr>
              <w:spacing w:after="0"/>
              <w:rPr>
                <w:rFonts w:cstheme="minorHAnsi"/>
                <w:sz w:val="20"/>
                <w:szCs w:val="20"/>
              </w:rPr>
            </w:pPr>
            <w:r w:rsidRPr="00067D64">
              <w:rPr>
                <w:rFonts w:cstheme="minorHAnsi"/>
                <w:sz w:val="20"/>
                <w:szCs w:val="20"/>
              </w:rPr>
              <w:t>Evaluate the degree of coordination and effectiveness in targeting hazardous areas exhibited by networks of local plans.</w:t>
            </w:r>
          </w:p>
        </w:tc>
        <w:tc>
          <w:tcPr>
            <w:tcW w:w="1373" w:type="dxa"/>
          </w:tcPr>
          <w:p w14:paraId="4318F6B1" w14:textId="4589FB96" w:rsidR="00956C1D" w:rsidRPr="00C126D0" w:rsidRDefault="00067D64" w:rsidP="00630B13">
            <w:pPr>
              <w:spacing w:after="0"/>
              <w:rPr>
                <w:rFonts w:cstheme="minorHAnsi"/>
                <w:sz w:val="20"/>
                <w:szCs w:val="20"/>
              </w:rPr>
            </w:pPr>
            <w:r w:rsidRPr="00067D64">
              <w:rPr>
                <w:rFonts w:cstheme="minorHAnsi"/>
                <w:sz w:val="20"/>
                <w:szCs w:val="20"/>
              </w:rPr>
              <w:t>Assessment conducted in each city by a group of local evaluators</w:t>
            </w:r>
          </w:p>
        </w:tc>
        <w:tc>
          <w:tcPr>
            <w:tcW w:w="2408" w:type="dxa"/>
          </w:tcPr>
          <w:p w14:paraId="2FBCBAC5" w14:textId="009D4474" w:rsidR="00956C1D" w:rsidRPr="00C126D0" w:rsidRDefault="00956C1D" w:rsidP="00630B13">
            <w:pPr>
              <w:spacing w:after="0"/>
              <w:rPr>
                <w:rFonts w:cstheme="minorHAnsi"/>
                <w:sz w:val="20"/>
                <w:szCs w:val="20"/>
              </w:rPr>
            </w:pPr>
            <w:r w:rsidRPr="00C126D0">
              <w:rPr>
                <w:rFonts w:cstheme="minorHAnsi"/>
                <w:sz w:val="20"/>
                <w:szCs w:val="20"/>
              </w:rPr>
              <w:t>Differences in stakeholder engagement and outcomes between Nashua and Norfolk.</w:t>
            </w:r>
          </w:p>
        </w:tc>
        <w:tc>
          <w:tcPr>
            <w:tcW w:w="2340" w:type="dxa"/>
          </w:tcPr>
          <w:p w14:paraId="7655E291" w14:textId="0C88F742" w:rsidR="00956C1D" w:rsidRPr="00C126D0" w:rsidRDefault="00067D64" w:rsidP="00630B13">
            <w:pPr>
              <w:spacing w:after="0"/>
              <w:rPr>
                <w:rFonts w:cstheme="minorHAnsi"/>
                <w:sz w:val="20"/>
                <w:szCs w:val="20"/>
              </w:rPr>
            </w:pPr>
            <w:r w:rsidRPr="00067D64">
              <w:rPr>
                <w:rFonts w:cstheme="minorHAnsi"/>
                <w:sz w:val="20"/>
                <w:szCs w:val="20"/>
              </w:rPr>
              <w:t>PIRS serves as a prospective paradigm for communities to transition from autonomous resilience initiatives to coordinated strategizing.</w:t>
            </w:r>
          </w:p>
        </w:tc>
      </w:tr>
      <w:tr w:rsidR="00956C1D" w:rsidRPr="00C126D0" w14:paraId="46EB3E57" w14:textId="77777777" w:rsidTr="00956C1D">
        <w:trPr>
          <w:trHeight w:val="1556"/>
        </w:trPr>
        <w:tc>
          <w:tcPr>
            <w:tcW w:w="534" w:type="dxa"/>
          </w:tcPr>
          <w:p w14:paraId="3C0B383A" w14:textId="2763026A" w:rsidR="00956C1D" w:rsidRPr="00C126D0" w:rsidRDefault="00956C1D" w:rsidP="00630B13">
            <w:pPr>
              <w:spacing w:after="0"/>
              <w:rPr>
                <w:rFonts w:cstheme="minorHAnsi"/>
                <w:sz w:val="20"/>
                <w:szCs w:val="20"/>
              </w:rPr>
            </w:pPr>
            <w:r w:rsidRPr="00C126D0">
              <w:rPr>
                <w:rFonts w:cstheme="minorHAnsi"/>
                <w:color w:val="000000"/>
                <w:sz w:val="20"/>
                <w:szCs w:val="20"/>
              </w:rPr>
              <w:t>16</w:t>
            </w:r>
          </w:p>
        </w:tc>
        <w:tc>
          <w:tcPr>
            <w:tcW w:w="1321" w:type="dxa"/>
          </w:tcPr>
          <w:p w14:paraId="0B159ADD" w14:textId="4FE872DF" w:rsidR="00956C1D" w:rsidRPr="00C126D0" w:rsidRDefault="00956C1D" w:rsidP="00630B13">
            <w:pPr>
              <w:spacing w:after="0"/>
              <w:rPr>
                <w:rFonts w:cstheme="minorHAnsi"/>
                <w:sz w:val="20"/>
                <w:szCs w:val="20"/>
              </w:rPr>
            </w:pPr>
            <w:r w:rsidRPr="00C126D0">
              <w:rPr>
                <w:rFonts w:cstheme="minorHAnsi"/>
                <w:sz w:val="20"/>
                <w:szCs w:val="20"/>
              </w:rPr>
              <w:t xml:space="preserve">Folke </w:t>
            </w:r>
            <w:r w:rsidRPr="00C126D0">
              <w:rPr>
                <w:rFonts w:cstheme="minorHAnsi"/>
                <w:sz w:val="20"/>
                <w:szCs w:val="20"/>
              </w:rPr>
              <w:fldChar w:fldCharType="begin" w:fldLock="1"/>
            </w:r>
            <w:r w:rsidRPr="00C126D0">
              <w:rPr>
                <w:rFonts w:cstheme="minorHAnsi"/>
                <w:sz w:val="20"/>
                <w:szCs w:val="20"/>
              </w:rPr>
              <w:instrText>ADDIN CSL_CITATION {"citationItems":[{"id":"ITEM-1","itemData":{"DOI":"10.1016/j.gloenvcha.2006.04.002","ISBN":"0959-3780","ISSN":"09593780","PMID":"5114078529503471760","abstract":"The resilience perspective is increasingly used as an approach for understanding the dynamics of social-ecological systems. This article presents the origin of the resilience perspective and provides an overview of its development to date. With roots in one branch of ecology and the discovery of multiple basins of attraction in ecosystems in the 1960-1970s, it inspired social and environmental scientists to challenge the dominant stable equilibrium view. The resilience approach emphasizes non-linear dynamics, thresholds, uncertainty and surprise, how periods of gradual change interplay with periods of rapid change and how such dynamics interact across temporal and spatial scales. The history was dominated by empirical observations of ecosystem dynamics interpreted in mathematical models, developing into the adaptive management approach for responding to ecosystem change. Serious attempts to integrate the social dimension is currently taking place in resilience work reflected in the large numbers of sciences involved in explorative studies and new discoveries of linked social-ecological systems. Recent advances include understanding of social processes like, social learning and social memory, mental models and knowledge-system integration, visioning and scenario building, leadership, agents and actor groups, social networks, institutional and organizational inertia and change, adaptive capacity, transformability and systems of adaptive governance that allow for management of essential ecosystem services. © 2006.","author":[{"dropping-particle":"","family":"Folke","given":"Carl","non-dropping-particle":"","parse-names":false,"suffix":""}],"container-title":"Global Environmental Change","id":"ITEM-1","issue":"3","issued":{"date-parts":[["2006","8"]]},"page":"253-267","title":"Resilience: The emergence of a perspective for social–ecological systems analyses","type":"article-journal","volume":"16"},"uris":["http://www.mendeley.com/documents/?uuid=68896e9a-edd4-4dd4-81b3-183c2e14b569"]}],"mendeley":{"formattedCitation":"[16]","plainTextFormattedCitation":"[16]","previouslyFormattedCitation":"[16]"},"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[16]</w:t>
            </w:r>
            <w:r w:rsidRPr="00C126D0">
              <w:rPr>
                <w:rFonts w:cstheme="minorHAnsi"/>
                <w:sz w:val="20"/>
                <w:szCs w:val="20"/>
              </w:rPr>
              <w:fldChar w:fldCharType="end"/>
            </w:r>
          </w:p>
        </w:tc>
        <w:tc>
          <w:tcPr>
            <w:tcW w:w="2009" w:type="dxa"/>
          </w:tcPr>
          <w:p w14:paraId="56122F47" w14:textId="49D4AC69" w:rsidR="00956C1D" w:rsidRPr="00C126D0" w:rsidRDefault="00956C1D" w:rsidP="00630B13">
            <w:pPr>
              <w:spacing w:after="0"/>
              <w:rPr>
                <w:rFonts w:cstheme="minorHAnsi"/>
                <w:sz w:val="20"/>
                <w:szCs w:val="20"/>
              </w:rPr>
            </w:pPr>
            <w:r w:rsidRPr="00C126D0">
              <w:rPr>
                <w:rFonts w:cstheme="minorHAnsi"/>
                <w:sz w:val="20"/>
                <w:szCs w:val="20"/>
              </w:rPr>
              <w:t>Understand the dynamics of social-ecological systems from a resilience perspective.</w:t>
            </w:r>
          </w:p>
        </w:tc>
        <w:tc>
          <w:tcPr>
            <w:tcW w:w="1373" w:type="dxa"/>
          </w:tcPr>
          <w:p w14:paraId="12AC8A91" w14:textId="7EE70937" w:rsidR="00956C1D" w:rsidRPr="00C126D0" w:rsidRDefault="00956C1D" w:rsidP="00630B13">
            <w:pPr>
              <w:spacing w:after="0"/>
              <w:rPr>
                <w:rFonts w:cstheme="minorHAnsi"/>
                <w:sz w:val="20"/>
                <w:szCs w:val="20"/>
              </w:rPr>
            </w:pPr>
            <w:r w:rsidRPr="00C126D0">
              <w:rPr>
                <w:rFonts w:cstheme="minorHAnsi"/>
                <w:sz w:val="20"/>
                <w:szCs w:val="20"/>
              </w:rPr>
              <w:t>Review and analysis</w:t>
            </w:r>
          </w:p>
        </w:tc>
        <w:tc>
          <w:tcPr>
            <w:tcW w:w="2408" w:type="dxa"/>
          </w:tcPr>
          <w:p w14:paraId="004C9301" w14:textId="00696FFA" w:rsidR="00956C1D" w:rsidRPr="00C126D0" w:rsidRDefault="00067D64" w:rsidP="00630B13">
            <w:pPr>
              <w:spacing w:after="0"/>
              <w:rPr>
                <w:rFonts w:cstheme="minorHAnsi"/>
                <w:sz w:val="20"/>
                <w:szCs w:val="20"/>
              </w:rPr>
            </w:pPr>
            <w:r w:rsidRPr="00067D64">
              <w:rPr>
                <w:rFonts w:cstheme="minorHAnsi"/>
                <w:sz w:val="20"/>
                <w:szCs w:val="20"/>
              </w:rPr>
              <w:t>Social ecological systems are analyzed in terms of their nonlinear dynamics, thresholds, unpredictability, and unexpectedness.</w:t>
            </w:r>
          </w:p>
        </w:tc>
        <w:tc>
          <w:tcPr>
            <w:tcW w:w="2340" w:type="dxa"/>
          </w:tcPr>
          <w:p w14:paraId="14B034EE" w14:textId="025E529B" w:rsidR="00956C1D" w:rsidRPr="00C126D0" w:rsidRDefault="00956C1D" w:rsidP="00630B13">
            <w:pPr>
              <w:spacing w:after="0"/>
              <w:rPr>
                <w:rFonts w:cstheme="minorHAnsi"/>
                <w:sz w:val="20"/>
                <w:szCs w:val="20"/>
              </w:rPr>
            </w:pPr>
            <w:r w:rsidRPr="00C126D0">
              <w:rPr>
                <w:rFonts w:cstheme="minorHAnsi"/>
                <w:sz w:val="20"/>
                <w:szCs w:val="20"/>
              </w:rPr>
              <w:t>Highlights the importance of social processes, knowledge-system integration, leadership, adaptive capacity, and adaptive governance.</w:t>
            </w:r>
          </w:p>
        </w:tc>
      </w:tr>
      <w:tr w:rsidR="00956C1D" w:rsidRPr="00C126D0" w14:paraId="26473162" w14:textId="77777777" w:rsidTr="00956C1D">
        <w:trPr>
          <w:trHeight w:val="56"/>
        </w:trPr>
        <w:tc>
          <w:tcPr>
            <w:tcW w:w="534" w:type="dxa"/>
          </w:tcPr>
          <w:p w14:paraId="59BCD548" w14:textId="1C60729A" w:rsidR="00956C1D" w:rsidRPr="00C126D0" w:rsidRDefault="00956C1D" w:rsidP="00630B13">
            <w:pPr>
              <w:spacing w:after="0"/>
              <w:rPr>
                <w:rFonts w:cstheme="minorHAnsi"/>
                <w:sz w:val="20"/>
                <w:szCs w:val="20"/>
              </w:rPr>
            </w:pPr>
            <w:r w:rsidRPr="00C126D0">
              <w:rPr>
                <w:rFonts w:cstheme="minorHAnsi"/>
                <w:color w:val="000000"/>
                <w:sz w:val="20"/>
                <w:szCs w:val="20"/>
              </w:rPr>
              <w:t>17</w:t>
            </w:r>
          </w:p>
        </w:tc>
        <w:tc>
          <w:tcPr>
            <w:tcW w:w="1321" w:type="dxa"/>
          </w:tcPr>
          <w:p w14:paraId="1FD60855" w14:textId="539AF4EF" w:rsidR="00956C1D" w:rsidRPr="00C126D0" w:rsidRDefault="00956C1D" w:rsidP="00630B13">
            <w:pPr>
              <w:spacing w:after="0"/>
              <w:rPr>
                <w:rFonts w:cstheme="minorHAnsi"/>
                <w:sz w:val="20"/>
                <w:szCs w:val="20"/>
              </w:rPr>
            </w:pPr>
            <w:r w:rsidRPr="00C126D0">
              <w:rPr>
                <w:rFonts w:cstheme="minorHAnsi"/>
                <w:sz w:val="20"/>
                <w:szCs w:val="20"/>
              </w:rPr>
              <w:t xml:space="preserve">Plummer </w:t>
            </w:r>
            <w:r>
              <w:rPr>
                <w:rFonts w:cstheme="minorHAnsi"/>
                <w:sz w:val="20"/>
                <w:szCs w:val="20"/>
              </w:rPr>
              <w:t>and</w:t>
            </w:r>
            <w:r w:rsidRPr="00C126D0">
              <w:rPr>
                <w:rFonts w:cstheme="minorHAnsi"/>
                <w:sz w:val="20"/>
                <w:szCs w:val="20"/>
              </w:rPr>
              <w:t xml:space="preserve"> Armitage </w:t>
            </w:r>
            <w:r w:rsidRPr="00C126D0">
              <w:rPr>
                <w:rFonts w:cstheme="minorHAnsi"/>
                <w:sz w:val="20"/>
                <w:szCs w:val="20"/>
              </w:rPr>
              <w:fldChar w:fldCharType="begin" w:fldLock="1"/>
            </w:r>
            <w:r w:rsidRPr="00C126D0">
              <w:rPr>
                <w:rFonts w:cstheme="minorHAnsi"/>
                <w:sz w:val="20"/>
                <w:szCs w:val="20"/>
              </w:rPr>
              <w:instrText>ADDIN CSL_CITATION {"citationItems":[{"id":"ITEM-1","itemData":{"DOI":"10.1016/j.ecolecon.2006.09.025","ISSN":"09218009","abstract":"Adaptive co-management brings together collaborative and adaptive approaches in pursuit of sustainable resource use and social-ecological resilience. Enthusiasm for this management approach, however, is countered by recent critiques regarding outcomes. A lack of evidence from consistent evaluation of adaptive co-management further exacerbates this situation. This paper revisits the issue of evaluation in natural resource management and recasts it in light of complex adaptive systems thinking. An evaluative framework for adaptive co-management is developed which directs attention toward three broad components: ecosystem conditions, livelihood outcomes and process and institutional conditions. Scale-specific parameters are offered for each component to facilitate systematic learning from experience and encourage cross-site comparisons. Conclusions highlight the importance of systematically incorporating evaluation into the adaptive co-management process and recognize the challenge for resource agencies and researchers to shift from a conventional to a complex adaptive system perspective. © 2006 Elsevier B.V. All rights reserved.","author":[{"dropping-particle":"","family":"Plummer","given":"Ryan","non-dropping-particle":"","parse-names":false,"suffix":""},{"dropping-particle":"","family":"Armitage","given":"Derek","non-dropping-particle":"","parse-names":false,"suffix":""}],"container-title":"Ecological Economics","id":"ITEM-1","issue":"1","issued":{"date-parts":[["2007"]]},"page":"62-74","title":"A resilience-based framework for evaluating adaptive co-management: Linking ecology, economics and society in a complex world","type":"article-journal","volume":"61"},"uris":["http://www.mendeley.com/documents/?uuid=8c27d311-fdfb-43ba-a9c4-29ce24c453f3"]}],"mendeley":{"formattedCitation":"[17]","plainTextFormattedCitation":"[17]","previouslyFormattedCitation":"[17]"},"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[17]</w:t>
            </w:r>
            <w:r w:rsidRPr="00C126D0">
              <w:rPr>
                <w:rFonts w:cstheme="minorHAnsi"/>
                <w:sz w:val="20"/>
                <w:szCs w:val="20"/>
              </w:rPr>
              <w:fldChar w:fldCharType="end"/>
            </w:r>
          </w:p>
        </w:tc>
        <w:tc>
          <w:tcPr>
            <w:tcW w:w="2009" w:type="dxa"/>
          </w:tcPr>
          <w:p w14:paraId="38FCFDEA" w14:textId="645FE967" w:rsidR="00956C1D" w:rsidRPr="00C126D0" w:rsidRDefault="00067D64" w:rsidP="00630B13">
            <w:pPr>
              <w:spacing w:after="0"/>
              <w:rPr>
                <w:rFonts w:cstheme="minorHAnsi"/>
                <w:sz w:val="20"/>
                <w:szCs w:val="20"/>
              </w:rPr>
            </w:pPr>
            <w:r w:rsidRPr="00067D64">
              <w:rPr>
                <w:rFonts w:cstheme="minorHAnsi"/>
                <w:sz w:val="20"/>
                <w:szCs w:val="20"/>
              </w:rPr>
              <w:t>Using complex adaptive systems thinking, construct an evaluation framework for adaptive co-management.</w:t>
            </w:r>
          </w:p>
        </w:tc>
        <w:tc>
          <w:tcPr>
            <w:tcW w:w="1373" w:type="dxa"/>
          </w:tcPr>
          <w:p w14:paraId="5CA5D7BE" w14:textId="60AA607D"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615276C7" w14:textId="46292D40" w:rsidR="00956C1D" w:rsidRPr="00C126D0" w:rsidRDefault="00067D64" w:rsidP="00630B13">
            <w:pPr>
              <w:spacing w:after="0"/>
              <w:rPr>
                <w:rFonts w:cstheme="minorHAnsi"/>
                <w:sz w:val="20"/>
                <w:szCs w:val="20"/>
              </w:rPr>
            </w:pPr>
            <w:r w:rsidRPr="00067D64">
              <w:rPr>
                <w:rFonts w:cstheme="minorHAnsi"/>
                <w:sz w:val="20"/>
                <w:szCs w:val="20"/>
              </w:rPr>
              <w:t>Environmental conditions, livelihood outcomes, and institutional and process conditions are the focal points of this evaluative framework.</w:t>
            </w:r>
          </w:p>
        </w:tc>
        <w:tc>
          <w:tcPr>
            <w:tcW w:w="2340" w:type="dxa"/>
          </w:tcPr>
          <w:p w14:paraId="33A39991" w14:textId="78B1179C" w:rsidR="00956C1D" w:rsidRPr="00C126D0" w:rsidRDefault="00956C1D" w:rsidP="00630B13">
            <w:pPr>
              <w:spacing w:after="0"/>
              <w:rPr>
                <w:rFonts w:cstheme="minorHAnsi"/>
                <w:sz w:val="20"/>
                <w:szCs w:val="20"/>
              </w:rPr>
            </w:pPr>
            <w:r w:rsidRPr="00C126D0">
              <w:rPr>
                <w:rFonts w:cstheme="minorHAnsi"/>
                <w:sz w:val="20"/>
                <w:szCs w:val="20"/>
              </w:rPr>
              <w:t>Encourages systematic learning and cross-site comparisons in adaptive co-management.</w:t>
            </w:r>
          </w:p>
        </w:tc>
      </w:tr>
      <w:tr w:rsidR="00956C1D" w:rsidRPr="00C126D0" w14:paraId="50B13E54" w14:textId="77777777" w:rsidTr="00956C1D">
        <w:trPr>
          <w:trHeight w:val="56"/>
        </w:trPr>
        <w:tc>
          <w:tcPr>
            <w:tcW w:w="534" w:type="dxa"/>
          </w:tcPr>
          <w:p w14:paraId="3F3D33C6" w14:textId="3B194C79" w:rsidR="00956C1D" w:rsidRPr="00C126D0" w:rsidRDefault="00956C1D" w:rsidP="00630B13">
            <w:pPr>
              <w:spacing w:after="0"/>
              <w:rPr>
                <w:rFonts w:cstheme="minorHAnsi"/>
                <w:sz w:val="20"/>
                <w:szCs w:val="20"/>
              </w:rPr>
            </w:pPr>
            <w:r w:rsidRPr="00C126D0">
              <w:rPr>
                <w:rFonts w:cstheme="minorHAnsi"/>
                <w:color w:val="000000"/>
                <w:sz w:val="20"/>
                <w:szCs w:val="20"/>
              </w:rPr>
              <w:t>18</w:t>
            </w:r>
          </w:p>
        </w:tc>
        <w:tc>
          <w:tcPr>
            <w:tcW w:w="1321" w:type="dxa"/>
          </w:tcPr>
          <w:p w14:paraId="23043E50" w14:textId="2BC24C2D" w:rsidR="00956C1D" w:rsidRPr="00C126D0" w:rsidRDefault="00956C1D" w:rsidP="00630B13">
            <w:pPr>
              <w:spacing w:after="0"/>
              <w:rPr>
                <w:rFonts w:cstheme="minorHAnsi"/>
                <w:sz w:val="20"/>
                <w:szCs w:val="20"/>
              </w:rPr>
            </w:pPr>
            <w:r w:rsidRPr="00C126D0">
              <w:rPr>
                <w:rFonts w:cstheme="minorHAnsi"/>
                <w:sz w:val="20"/>
                <w:szCs w:val="20"/>
              </w:rPr>
              <w:t xml:space="preserve">Cutter 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{"citationItems":[{"id":"ITEM-1","itemData":{"DOI":"10.1016/j.gloenvcha.2008.07.013","ISBN":"0959-3780","ISSN":"09593780","PMID":"24042611","abstract":"There is considerable research interest on the meaning and measurement of resilience from a variety of research perspectives including those from the hazards/disasters and global change communities. The identification of standards and metrics for measuring disaster resilience is one of the challenges faced by local, state, and federal agencies, especially in the United States. This paper provides a new framework, the disaster resilience of place (DROP) model, designed to improve comparative assessments of disaster resilience at the local or community level. A candidate set of variables for implementing the model are also presented as a first step towards its implementation. © 2008 Elsevier Ltd. All rights reserved.","author":[{"dropping-particle":"","family":"Cutter","given":"Susan L.","non-dropping-particle":"","parse-names":false,"suffix":""},{"dropping-particle":"","family":"Barnes","given":"Lindsey","non-dropping-particle":"","parse-names":false,"suffix":""},{"dropping-particle":"","family":"Berry","given":"Melissa","non-dropping-particle":"","parse-names":false,"suffix":""},{"dropping-particle":"","family":"Burton","given":"Christopher","non-dropping-particle":"","parse-names":false,"suffix":""},{"dropping-particle":"","family":"Evans","given":"Elijah","non-dropping-particle":"","parse-names":false,"suffix":""},{"dropping-particle":"","family":"Tate","given":"Eric","non-dropping-particle":"","parse-names":false,"suffix":""},{"dropping-particle":"","family":"Webb","given":"Jennifer","non-dropping-particle":"","parse-names":false,"suffix":""}],"container-title":"Global Environmental Change","id":"ITEM-1","issue":"4","issued":{"date-parts":[["2008","10"]]},"page":"598-606","title":"A place-based model for understanding community resilience to natural disasters","type":"article-journal","volume":"18"},"uris":["http://www.mendeley.com/documents/?uuid=050b9b17-a80b-4702-a3bb-c31fe9eea1a4"]}],"mendeley":{"formattedCitation":"[18]","plainTextFormattedCitation":"[18]","previouslyFormattedCitation":"[18]"},"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[18]</w:t>
            </w:r>
            <w:r w:rsidRPr="00C126D0">
              <w:rPr>
                <w:rFonts w:cstheme="minorHAnsi"/>
                <w:sz w:val="20"/>
                <w:szCs w:val="20"/>
              </w:rPr>
              <w:fldChar w:fldCharType="end"/>
            </w:r>
          </w:p>
        </w:tc>
        <w:tc>
          <w:tcPr>
            <w:tcW w:w="2009" w:type="dxa"/>
          </w:tcPr>
          <w:p w14:paraId="00E68BB4" w14:textId="129323DF" w:rsidR="00956C1D" w:rsidRPr="00C126D0" w:rsidRDefault="00956C1D" w:rsidP="00630B13">
            <w:pPr>
              <w:spacing w:after="0"/>
              <w:rPr>
                <w:rFonts w:cstheme="minorHAnsi"/>
                <w:sz w:val="20"/>
                <w:szCs w:val="20"/>
              </w:rPr>
            </w:pPr>
            <w:r w:rsidRPr="00C126D0">
              <w:rPr>
                <w:rFonts w:cstheme="minorHAnsi"/>
                <w:sz w:val="20"/>
                <w:szCs w:val="20"/>
              </w:rPr>
              <w:t xml:space="preserve">Provide a new framework for understanding and assessing </w:t>
            </w:r>
            <w:r w:rsidR="00B32CBC" w:rsidRPr="00C126D0">
              <w:rPr>
                <w:rFonts w:cstheme="minorHAnsi"/>
                <w:sz w:val="20"/>
                <w:szCs w:val="20"/>
              </w:rPr>
              <w:t xml:space="preserve">community </w:t>
            </w:r>
            <w:r w:rsidRPr="00C126D0">
              <w:rPr>
                <w:rFonts w:cstheme="minorHAnsi"/>
                <w:sz w:val="20"/>
                <w:szCs w:val="20"/>
              </w:rPr>
              <w:t>disaster resilience.</w:t>
            </w:r>
          </w:p>
        </w:tc>
        <w:tc>
          <w:tcPr>
            <w:tcW w:w="1373" w:type="dxa"/>
          </w:tcPr>
          <w:p w14:paraId="278A2A12" w14:textId="4B72922F" w:rsidR="00956C1D" w:rsidRPr="00C126D0" w:rsidRDefault="00956C1D" w:rsidP="00630B13">
            <w:pPr>
              <w:spacing w:after="0"/>
              <w:rPr>
                <w:rFonts w:cstheme="minorHAnsi"/>
                <w:sz w:val="20"/>
                <w:szCs w:val="20"/>
              </w:rPr>
            </w:pPr>
            <w:r w:rsidRPr="00C126D0">
              <w:rPr>
                <w:rFonts w:cstheme="minorHAnsi"/>
                <w:sz w:val="20"/>
                <w:szCs w:val="20"/>
              </w:rPr>
              <w:t>Model development</w:t>
            </w:r>
          </w:p>
        </w:tc>
        <w:tc>
          <w:tcPr>
            <w:tcW w:w="2408" w:type="dxa"/>
          </w:tcPr>
          <w:p w14:paraId="7A7CB86C" w14:textId="055EF609" w:rsidR="00956C1D" w:rsidRPr="00C126D0" w:rsidRDefault="00956C1D" w:rsidP="00630B13">
            <w:pPr>
              <w:spacing w:after="0"/>
              <w:rPr>
                <w:rFonts w:cstheme="minorHAnsi"/>
                <w:sz w:val="20"/>
                <w:szCs w:val="20"/>
              </w:rPr>
            </w:pPr>
            <w:r w:rsidRPr="00C126D0">
              <w:rPr>
                <w:rFonts w:cstheme="minorHAnsi"/>
                <w:sz w:val="20"/>
                <w:szCs w:val="20"/>
              </w:rPr>
              <w:t>Introduces the disaster resilience of place (DROP) model.</w:t>
            </w:r>
          </w:p>
        </w:tc>
        <w:tc>
          <w:tcPr>
            <w:tcW w:w="2340" w:type="dxa"/>
          </w:tcPr>
          <w:p w14:paraId="1DBC024E" w14:textId="6A0A8BD5" w:rsidR="00956C1D" w:rsidRPr="00C126D0" w:rsidRDefault="00B32CBC" w:rsidP="00630B13">
            <w:pPr>
              <w:spacing w:after="0"/>
              <w:rPr>
                <w:rFonts w:cstheme="minorHAnsi"/>
                <w:sz w:val="20"/>
                <w:szCs w:val="20"/>
              </w:rPr>
            </w:pPr>
            <w:r w:rsidRPr="00B32CBC">
              <w:rPr>
                <w:rFonts w:cstheme="minorHAnsi"/>
                <w:sz w:val="20"/>
                <w:szCs w:val="20"/>
              </w:rPr>
              <w:t>Locally comparative assessments of calamity resilience are intended to be enhanced.</w:t>
            </w:r>
          </w:p>
        </w:tc>
      </w:tr>
      <w:tr w:rsidR="00956C1D" w:rsidRPr="00C126D0" w14:paraId="5B6D361B" w14:textId="77777777" w:rsidTr="00956C1D">
        <w:trPr>
          <w:trHeight w:val="56"/>
        </w:trPr>
        <w:tc>
          <w:tcPr>
            <w:tcW w:w="534" w:type="dxa"/>
          </w:tcPr>
          <w:p w14:paraId="2B7939F7" w14:textId="54977F38" w:rsidR="00956C1D" w:rsidRPr="00C126D0" w:rsidRDefault="00956C1D" w:rsidP="00630B13">
            <w:pPr>
              <w:spacing w:after="0"/>
              <w:rPr>
                <w:rFonts w:cstheme="minorHAnsi"/>
                <w:sz w:val="20"/>
                <w:szCs w:val="20"/>
              </w:rPr>
            </w:pPr>
            <w:r w:rsidRPr="00C126D0">
              <w:rPr>
                <w:rFonts w:cstheme="minorHAnsi"/>
                <w:color w:val="000000"/>
                <w:sz w:val="20"/>
                <w:szCs w:val="20"/>
              </w:rPr>
              <w:t>19</w:t>
            </w:r>
          </w:p>
        </w:tc>
        <w:tc>
          <w:tcPr>
            <w:tcW w:w="1321" w:type="dxa"/>
          </w:tcPr>
          <w:p w14:paraId="193DF82C" w14:textId="4D2551DC" w:rsidR="00956C1D" w:rsidRPr="00C126D0" w:rsidRDefault="00956C1D" w:rsidP="00630B13">
            <w:pPr>
              <w:spacing w:after="0"/>
              <w:rPr>
                <w:rFonts w:cstheme="minorHAnsi"/>
                <w:sz w:val="20"/>
                <w:szCs w:val="20"/>
              </w:rPr>
            </w:pPr>
            <w:r w:rsidRPr="00C126D0">
              <w:rPr>
                <w:rFonts w:cstheme="minorHAnsi"/>
                <w:sz w:val="20"/>
                <w:szCs w:val="20"/>
              </w:rPr>
              <w:t xml:space="preserve">Norris </w:t>
            </w:r>
            <w:r>
              <w:rPr>
                <w:rFonts w:cstheme="minorHAnsi"/>
                <w:sz w:val="20"/>
                <w:szCs w:val="20"/>
              </w:rPr>
              <w:t>e</w:t>
            </w:r>
            <w:r w:rsidRPr="00C126D0">
              <w:rPr>
                <w:rFonts w:cstheme="minorHAnsi"/>
                <w:sz w:val="20"/>
                <w:szCs w:val="20"/>
              </w:rPr>
              <w:t xml:space="preserve">t al. </w:t>
            </w:r>
            <w:r w:rsidRPr="00C126D0">
              <w:rPr>
                <w:rFonts w:cstheme="minorHAnsi"/>
                <w:sz w:val="20"/>
                <w:szCs w:val="20"/>
              </w:rPr>
              <w:fldChar w:fldCharType="begin" w:fldLock="1"/>
            </w:r>
            <w:r w:rsidRPr="00C126D0">
              <w:rPr>
                <w:rFonts w:cstheme="minorHAnsi"/>
                <w:sz w:val="20"/>
                <w:szCs w:val="20"/>
              </w:rPr>
              <w:instrText>ADDIN CSL_CITATION {"citationItems":[{"id":"ITEM-1","itemData":{"DOI":"10.1007/s10464-007-9156-6","ISSN":"00910562","PMID":"18157631","abstract":"Communities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 © 2007 Springer Science+Business Media, LLC.","author":[{"dropping-particle":"","family":"Norris","given":"Fran H.","non-dropping-particle":"","parse-names":false,"suffix":""},{"dropping-particle":"","family":"Stevens","given":"Susan P.","non-dropping-particle":"","parse-names":false,"suffix":""},{"dropping-particle":"","family":"Pfefferbaum","given":"Betty","non-dropping-particle":"","parse-names":false,"suffix":""},{"dropping-particle":"","family":"Wyche","given":"Karen F.","non-dropping-particle":"","parse-names":false,"suffix":""},{"dropping-particle":"","family":"Pfefferbaum","given":"Rose L.","non-dropping-particle":"","parse-names":false,"suffix":""}],"container-title":"American Journal of Community Psychology","id":"ITEM-1","issue":"1-2","issued":{"date-parts":[["2008"]]},"page":"127-150","title":"Community resilience as a metaphor, theory, set of capacities, and strategy for disaster readiness","type":"article-journal","volume":"41"},"uris":["http://www.mendeley.com/documents/?uuid=098a12b2-d224-487b-8cf4-7af9436c1842"]}],"mendeley":{"formattedCitation":"[19]","plainTextFormattedCitation":"[19]","previouslyFormattedCitation":"[19]"},"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[19]</w:t>
            </w:r>
            <w:r w:rsidRPr="00C126D0">
              <w:rPr>
                <w:rFonts w:cstheme="minorHAnsi"/>
                <w:sz w:val="20"/>
                <w:szCs w:val="20"/>
              </w:rPr>
              <w:fldChar w:fldCharType="end"/>
            </w:r>
          </w:p>
        </w:tc>
        <w:tc>
          <w:tcPr>
            <w:tcW w:w="2009" w:type="dxa"/>
          </w:tcPr>
          <w:p w14:paraId="6B247374" w14:textId="4476C6A8" w:rsidR="00956C1D" w:rsidRPr="00C126D0" w:rsidRDefault="0036092F" w:rsidP="00630B13">
            <w:pPr>
              <w:spacing w:after="0"/>
              <w:rPr>
                <w:rFonts w:cstheme="minorHAnsi"/>
                <w:sz w:val="20"/>
                <w:szCs w:val="20"/>
              </w:rPr>
            </w:pPr>
            <w:r w:rsidRPr="0036092F">
              <w:rPr>
                <w:rFonts w:cstheme="minorHAnsi"/>
                <w:sz w:val="20"/>
                <w:szCs w:val="20"/>
              </w:rPr>
              <w:t>Introduce a comprehensive framework for understanding resilience that incorporates</w:t>
            </w:r>
            <w:r>
              <w:rPr>
                <w:rFonts w:cstheme="minorHAnsi"/>
                <w:sz w:val="20"/>
                <w:szCs w:val="20"/>
              </w:rPr>
              <w:t xml:space="preserve"> </w:t>
            </w:r>
            <w:r w:rsidRPr="0036092F">
              <w:rPr>
                <w:rFonts w:cstheme="minorHAnsi"/>
                <w:sz w:val="20"/>
                <w:szCs w:val="20"/>
              </w:rPr>
              <w:t>resource dynamics, stress, adaptation, and wellness.</w:t>
            </w:r>
          </w:p>
        </w:tc>
        <w:tc>
          <w:tcPr>
            <w:tcW w:w="1373" w:type="dxa"/>
          </w:tcPr>
          <w:p w14:paraId="706E2A17" w14:textId="38B1CFC0"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4D51A56C" w14:textId="06962A27" w:rsidR="00956C1D" w:rsidRPr="00C126D0" w:rsidRDefault="0036092F" w:rsidP="00630B13">
            <w:pPr>
              <w:spacing w:after="0"/>
              <w:rPr>
                <w:rFonts w:cstheme="minorHAnsi"/>
                <w:sz w:val="20"/>
                <w:szCs w:val="20"/>
              </w:rPr>
            </w:pPr>
            <w:r w:rsidRPr="0036092F">
              <w:rPr>
                <w:rFonts w:cstheme="minorHAnsi"/>
                <w:sz w:val="20"/>
                <w:szCs w:val="20"/>
              </w:rPr>
              <w:t>Associating adaptive capacities with adaptation subsequent to a disturbance, community resilience is defined.</w:t>
            </w:r>
          </w:p>
        </w:tc>
        <w:tc>
          <w:tcPr>
            <w:tcW w:w="2340" w:type="dxa"/>
          </w:tcPr>
          <w:p w14:paraId="5043FDD2" w14:textId="18B95D52" w:rsidR="00956C1D" w:rsidRPr="00C126D0" w:rsidRDefault="0036092F" w:rsidP="00630B13">
            <w:pPr>
              <w:spacing w:after="0"/>
              <w:rPr>
                <w:rFonts w:cstheme="minorHAnsi"/>
                <w:sz w:val="20"/>
                <w:szCs w:val="20"/>
              </w:rPr>
            </w:pPr>
            <w:r w:rsidRPr="0036092F">
              <w:rPr>
                <w:rFonts w:cstheme="minorHAnsi"/>
                <w:sz w:val="20"/>
                <w:szCs w:val="20"/>
              </w:rPr>
              <w:t>Values community competence, information and communication, social capital, and economic development as adaptive capacities that are emphasized.</w:t>
            </w:r>
          </w:p>
        </w:tc>
      </w:tr>
      <w:tr w:rsidR="00956C1D" w:rsidRPr="00C126D0" w14:paraId="5963B726" w14:textId="77777777" w:rsidTr="00956C1D">
        <w:trPr>
          <w:trHeight w:val="56"/>
        </w:trPr>
        <w:tc>
          <w:tcPr>
            <w:tcW w:w="534" w:type="dxa"/>
          </w:tcPr>
          <w:p w14:paraId="08DE18E8" w14:textId="52F86933" w:rsidR="00956C1D" w:rsidRPr="00C126D0" w:rsidRDefault="00956C1D" w:rsidP="00630B13">
            <w:pPr>
              <w:spacing w:after="0"/>
              <w:rPr>
                <w:rFonts w:cstheme="minorHAnsi"/>
                <w:sz w:val="20"/>
                <w:szCs w:val="20"/>
              </w:rPr>
            </w:pPr>
            <w:r w:rsidRPr="00C126D0">
              <w:rPr>
                <w:rFonts w:cstheme="minorHAnsi"/>
                <w:color w:val="000000"/>
                <w:sz w:val="20"/>
                <w:szCs w:val="20"/>
              </w:rPr>
              <w:t>20</w:t>
            </w:r>
          </w:p>
        </w:tc>
        <w:tc>
          <w:tcPr>
            <w:tcW w:w="1321" w:type="dxa"/>
          </w:tcPr>
          <w:p w14:paraId="438AF444" w14:textId="0473F1F6" w:rsidR="00956C1D" w:rsidRPr="00C126D0" w:rsidRDefault="00956C1D" w:rsidP="00630B13">
            <w:pPr>
              <w:spacing w:after="0"/>
              <w:rPr>
                <w:rFonts w:cstheme="minorHAnsi"/>
                <w:sz w:val="20"/>
                <w:szCs w:val="20"/>
              </w:rPr>
            </w:pPr>
            <w:proofErr w:type="spellStart"/>
            <w:r w:rsidRPr="00C126D0">
              <w:rPr>
                <w:rFonts w:cstheme="minorHAnsi"/>
                <w:sz w:val="20"/>
                <w:szCs w:val="20"/>
              </w:rPr>
              <w:t>Magis</w:t>
            </w:r>
            <w:proofErr w:type="spellEnd"/>
            <w:r w:rsidRPr="00C126D0">
              <w:rPr>
                <w:rFonts w:cstheme="minorHAnsi"/>
                <w:sz w:val="20"/>
                <w:szCs w:val="20"/>
              </w:rPr>
              <w:t xml:space="preserve"> </w:t>
            </w:r>
            <w:r w:rsidRPr="00C126D0">
              <w:rPr>
                <w:rFonts w:cstheme="minorHAnsi"/>
                <w:sz w:val="20"/>
                <w:szCs w:val="20"/>
              </w:rPr>
              <w:fldChar w:fldCharType="begin" w:fldLock="1"/>
            </w:r>
            <w:r w:rsidRPr="00C126D0">
              <w:rPr>
                <w:rFonts w:cstheme="minorHAnsi"/>
                <w:sz w:val="20"/>
                <w:szCs w:val="20"/>
              </w:rPr>
              <w:instrText>ADDIN CSL_CITATION {"citationItems":[{"id":"ITEM-1","itemData":{"DOI":"10.1080/08941920903305674","ISSN":"08941920","abstract":"Change is a constant force, in nature and in society. Research suggests that resilience pertains to the ability of a system to sustain itself through change via adaptation and occasional transformation. This article is based on the premises that communities can develop resilience by actively building and engaging the capacity to thrive in an environment characterized by change, and that community resilience is an important indicator of social sustainability. Community resilience, as defined herein, is the existence, development, and engagement of community resources by community members to thrive in an environment characterized by change, uncertainty, unpredictability, and surprise. The U.S. Roundtable on Sustainable Forests commissioned a research project to develop a theoretically and empirically based definition of community resilience as well as an associated measurement instrument. In this article, the research is presented, the emergent definition and dimensions of community resilience are posited, and the Community Resilience Self Assessment is introduced. © 2010 Taylor &amp; Francis Group, LLC.","author":[{"dropping-particle":"","family":"Magis","given":"Kristen","non-dropping-particle":"","parse-names":false,"suffix":""}],"container-title":"Society and Natural Resources","id":"ITEM-1","issue":"5","issued":{"date-parts":[["2010"]]},"page":"401-416","title":"Community resilience: An indicator of social sustainability","type":"article-journal","volume":"23"},"uris":["http://www.mendeley.com/documents/?uuid=ac25e4b3-ff1e-4d54-86a7-0a3a41a0923d"]}],"mendeley":{"formattedCitation":"[20]","plainTextFormattedCitation":"[20]","previouslyFormattedCitation":"[20]"},"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[20]</w:t>
            </w:r>
            <w:r w:rsidRPr="00C126D0">
              <w:rPr>
                <w:rFonts w:cstheme="minorHAnsi"/>
                <w:sz w:val="20"/>
                <w:szCs w:val="20"/>
              </w:rPr>
              <w:fldChar w:fldCharType="end"/>
            </w:r>
          </w:p>
        </w:tc>
        <w:tc>
          <w:tcPr>
            <w:tcW w:w="2009" w:type="dxa"/>
          </w:tcPr>
          <w:p w14:paraId="073447F1" w14:textId="2F17A7CB" w:rsidR="00956C1D" w:rsidRPr="00C126D0" w:rsidRDefault="00956C1D" w:rsidP="00630B13">
            <w:pPr>
              <w:spacing w:after="0"/>
              <w:rPr>
                <w:rFonts w:cstheme="minorHAnsi"/>
                <w:sz w:val="20"/>
                <w:szCs w:val="20"/>
              </w:rPr>
            </w:pPr>
            <w:r w:rsidRPr="00C126D0">
              <w:rPr>
                <w:rFonts w:cstheme="minorHAnsi"/>
                <w:sz w:val="20"/>
                <w:szCs w:val="20"/>
              </w:rPr>
              <w:t>Propose community resilience as an indicator of social sustainability.</w:t>
            </w:r>
          </w:p>
        </w:tc>
        <w:tc>
          <w:tcPr>
            <w:tcW w:w="1373" w:type="dxa"/>
          </w:tcPr>
          <w:p w14:paraId="7BB892F5" w14:textId="398CD550"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72EAB9DC" w14:textId="01E975F0" w:rsidR="00956C1D" w:rsidRPr="00C126D0" w:rsidRDefault="00956C1D" w:rsidP="00630B13">
            <w:pPr>
              <w:spacing w:after="0"/>
              <w:rPr>
                <w:rFonts w:cstheme="minorHAnsi"/>
                <w:sz w:val="20"/>
                <w:szCs w:val="20"/>
              </w:rPr>
            </w:pPr>
            <w:r w:rsidRPr="00C126D0">
              <w:rPr>
                <w:rFonts w:cstheme="minorHAnsi"/>
                <w:sz w:val="20"/>
                <w:szCs w:val="20"/>
              </w:rPr>
              <w:t xml:space="preserve">Defines community resilience in terms of thriving in </w:t>
            </w:r>
            <w:proofErr w:type="spellStart"/>
            <w:r w:rsidRPr="00C126D0">
              <w:rPr>
                <w:rFonts w:cstheme="minorHAnsi"/>
                <w:sz w:val="20"/>
                <w:szCs w:val="20"/>
              </w:rPr>
              <w:t>a</w:t>
            </w:r>
            <w:proofErr w:type="spellEnd"/>
            <w:r w:rsidR="00B0116B">
              <w:rPr>
                <w:rFonts w:cstheme="minorHAnsi"/>
                <w:sz w:val="20"/>
                <w:szCs w:val="20"/>
              </w:rPr>
              <w:t xml:space="preserve"> changing</w:t>
            </w:r>
            <w:r w:rsidRPr="00C126D0">
              <w:rPr>
                <w:rFonts w:cstheme="minorHAnsi"/>
                <w:sz w:val="20"/>
                <w:szCs w:val="20"/>
              </w:rPr>
              <w:t xml:space="preserve"> environment.</w:t>
            </w:r>
          </w:p>
        </w:tc>
        <w:tc>
          <w:tcPr>
            <w:tcW w:w="2340" w:type="dxa"/>
          </w:tcPr>
          <w:p w14:paraId="31E92CAD" w14:textId="34E7A072" w:rsidR="00956C1D" w:rsidRPr="00C126D0" w:rsidRDefault="00956C1D" w:rsidP="00630B13">
            <w:pPr>
              <w:spacing w:after="0"/>
              <w:rPr>
                <w:rFonts w:cstheme="minorHAnsi"/>
                <w:sz w:val="20"/>
                <w:szCs w:val="20"/>
              </w:rPr>
            </w:pPr>
            <w:r w:rsidRPr="00C126D0">
              <w:rPr>
                <w:rFonts w:cstheme="minorHAnsi"/>
                <w:sz w:val="20"/>
                <w:szCs w:val="20"/>
              </w:rPr>
              <w:t xml:space="preserve">Introduces the Community Resilience </w:t>
            </w:r>
            <w:proofErr w:type="spellStart"/>
            <w:r w:rsidRPr="00C126D0">
              <w:rPr>
                <w:rFonts w:cstheme="minorHAnsi"/>
                <w:sz w:val="20"/>
                <w:szCs w:val="20"/>
              </w:rPr>
              <w:t>Self Assessment</w:t>
            </w:r>
            <w:proofErr w:type="spellEnd"/>
            <w:r w:rsidRPr="00C126D0">
              <w:rPr>
                <w:rFonts w:cstheme="minorHAnsi"/>
                <w:sz w:val="20"/>
                <w:szCs w:val="20"/>
              </w:rPr>
              <w:t xml:space="preserve"> as a tool for measuring resilience.</w:t>
            </w:r>
          </w:p>
        </w:tc>
      </w:tr>
      <w:tr w:rsidR="00956C1D" w:rsidRPr="00C126D0" w14:paraId="5E60D0DE" w14:textId="77777777" w:rsidTr="00956C1D">
        <w:trPr>
          <w:trHeight w:val="948"/>
        </w:trPr>
        <w:tc>
          <w:tcPr>
            <w:tcW w:w="534" w:type="dxa"/>
          </w:tcPr>
          <w:p w14:paraId="5F80DC3F" w14:textId="1EE8ABE9" w:rsidR="00956C1D" w:rsidRPr="00C126D0" w:rsidRDefault="00956C1D" w:rsidP="00630B13">
            <w:pPr>
              <w:spacing w:after="0"/>
              <w:rPr>
                <w:rFonts w:cstheme="minorHAnsi"/>
                <w:sz w:val="20"/>
                <w:szCs w:val="20"/>
              </w:rPr>
            </w:pPr>
            <w:r w:rsidRPr="00C126D0">
              <w:rPr>
                <w:rFonts w:cstheme="minorHAnsi"/>
                <w:color w:val="000000"/>
                <w:sz w:val="20"/>
                <w:szCs w:val="20"/>
              </w:rPr>
              <w:t>21</w:t>
            </w:r>
          </w:p>
        </w:tc>
        <w:tc>
          <w:tcPr>
            <w:tcW w:w="1321" w:type="dxa"/>
          </w:tcPr>
          <w:p w14:paraId="58C56FAF" w14:textId="2936AAE5" w:rsidR="00956C1D" w:rsidRPr="00C126D0" w:rsidRDefault="00956C1D" w:rsidP="00630B13">
            <w:pPr>
              <w:spacing w:after="0"/>
              <w:rPr>
                <w:rFonts w:cstheme="minorHAnsi"/>
                <w:sz w:val="20"/>
                <w:szCs w:val="20"/>
              </w:rPr>
            </w:pPr>
            <w:proofErr w:type="spellStart"/>
            <w:r w:rsidRPr="00C126D0">
              <w:rPr>
                <w:rFonts w:cstheme="minorHAnsi"/>
                <w:sz w:val="20"/>
                <w:szCs w:val="20"/>
              </w:rPr>
              <w:t>Sherrieb</w:t>
            </w:r>
            <w:proofErr w:type="spellEnd"/>
            <w:r w:rsidRPr="00C126D0">
              <w:rPr>
                <w:rFonts w:cstheme="minorHAnsi"/>
                <w:sz w:val="20"/>
                <w:szCs w:val="20"/>
              </w:rPr>
              <w:t xml:space="preserve"> et al. </w:t>
            </w:r>
            <w:r w:rsidRPr="00C126D0">
              <w:rPr>
                <w:rFonts w:cstheme="minorHAnsi"/>
                <w:sz w:val="20"/>
                <w:szCs w:val="20"/>
              </w:rPr>
              <w:fldChar w:fldCharType="begin" w:fldLock="1"/>
            </w:r>
            <w:r w:rsidRPr="00C126D0">
              <w:rPr>
                <w:rFonts w:cstheme="minorHAnsi"/>
                <w:sz w:val="20"/>
                <w:szCs w:val="20"/>
              </w:rPr>
              <w:instrText>ADDIN CSL_CITATION {"citationItems":[{"id":"ITEM-1","itemData":{"DOI":"10.1007/s11205-010-9576-9","ISBN":"1120501095769","ISSN":"03038300","abstract":"The purpose of this study was to measure the sets of adaptive capacities for Economic Development and Social Capital in the Norris et al. (2008) community resilience model with publicly accessible population indicators. Our approach involved five steps. First, we conducted a literature review on measurements of the capacities. Second, we created an exhaustive \"wish list\" of relevant measures that operationalized the concepts presented in the literature. Third, we identified data sources and searched for archival, population-level data that matched our indicators. Fourth, we systematically tested correlations of indicators within and across the theoretical elements and used this information to select a parsimonious group of indicators. Fifth, we combined the indicators into composites of Economic Development and Social Capital and an additive index of Community Resilience using Mississippi county data, and validated these against a well-established index of social vulnerability and aggregated survey data on collective efficacy. We found that our measure of community resilience capacities correlated favorably and as expected when validated with the archival and survey data. This study provides the first step in identifying existing capacities that may predict a community's ability to \"bounce back\" from disasters, thereby reducing post-trauma health and mental health problems. © 2010 Springer Science+Business Media B.V.","author":[{"dropping-particle":"","family":"Sherrieb","given":"Kathleen","non-dropping-particle":"","parse-names":false,"suffix":""},{"dropping-particle":"","family":"Norris","given":"Fran H.","non-dropping-particle":"","parse-names":false,"suffix":""},{"dropping-particle":"","family":"Galea","given":"Sandro","non-dropping-particle":"","parse-names":false,"suffix":""}],"container-title":"Social Indicators Research","id":"ITEM-1","issue":"2","issued":{"date-parts":[["2010"]]},"page":"227-247","title":"Measuring Capacities for Community Resilience","type":"article-journal","volume":"99"},"uris":["http://www.mendeley.com/documents/?uuid=1e9138fb-9e49-496b-af69-0af59c6f3386"]}],"mendeley":{"formattedCitation":"[21]","plainTextFormattedCitation":"[21]","previouslyFormattedCitation":"[21]"},"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[21]</w:t>
            </w:r>
            <w:r w:rsidRPr="00C126D0">
              <w:rPr>
                <w:rFonts w:cstheme="minorHAnsi"/>
                <w:sz w:val="20"/>
                <w:szCs w:val="20"/>
              </w:rPr>
              <w:fldChar w:fldCharType="end"/>
            </w:r>
          </w:p>
        </w:tc>
        <w:tc>
          <w:tcPr>
            <w:tcW w:w="2009" w:type="dxa"/>
          </w:tcPr>
          <w:p w14:paraId="0EC3E367" w14:textId="3E581FD2" w:rsidR="00956C1D" w:rsidRPr="00C126D0" w:rsidRDefault="00956C1D" w:rsidP="00630B13">
            <w:pPr>
              <w:spacing w:after="0"/>
              <w:rPr>
                <w:rFonts w:cstheme="minorHAnsi"/>
                <w:sz w:val="20"/>
                <w:szCs w:val="20"/>
              </w:rPr>
            </w:pPr>
            <w:r w:rsidRPr="00C126D0">
              <w:rPr>
                <w:rFonts w:cstheme="minorHAnsi"/>
                <w:sz w:val="20"/>
                <w:szCs w:val="20"/>
              </w:rPr>
              <w:t>Measure adaptive capacities for community resilience using population indicators.</w:t>
            </w:r>
          </w:p>
        </w:tc>
        <w:tc>
          <w:tcPr>
            <w:tcW w:w="1373" w:type="dxa"/>
          </w:tcPr>
          <w:p w14:paraId="0BF7AA15" w14:textId="55C97EE0" w:rsidR="00956C1D" w:rsidRPr="00C126D0" w:rsidRDefault="00956C1D" w:rsidP="00630B13">
            <w:pPr>
              <w:spacing w:after="0"/>
              <w:rPr>
                <w:rFonts w:cstheme="minorHAnsi"/>
                <w:sz w:val="20"/>
                <w:szCs w:val="20"/>
              </w:rPr>
            </w:pPr>
            <w:r w:rsidRPr="00C126D0">
              <w:rPr>
                <w:rFonts w:cstheme="minorHAnsi"/>
                <w:sz w:val="20"/>
                <w:szCs w:val="20"/>
              </w:rPr>
              <w:t>Empirical study</w:t>
            </w:r>
          </w:p>
        </w:tc>
        <w:tc>
          <w:tcPr>
            <w:tcW w:w="2408" w:type="dxa"/>
          </w:tcPr>
          <w:p w14:paraId="37449BEE" w14:textId="1BE41656" w:rsidR="00956C1D" w:rsidRPr="00C126D0" w:rsidRDefault="00956C1D" w:rsidP="00630B13">
            <w:pPr>
              <w:spacing w:after="0"/>
              <w:rPr>
                <w:rFonts w:cstheme="minorHAnsi"/>
                <w:sz w:val="20"/>
                <w:szCs w:val="20"/>
              </w:rPr>
            </w:pPr>
            <w:r w:rsidRPr="00C126D0">
              <w:rPr>
                <w:rFonts w:cstheme="minorHAnsi"/>
                <w:sz w:val="20"/>
                <w:szCs w:val="20"/>
              </w:rPr>
              <w:t xml:space="preserve">Developed a </w:t>
            </w:r>
            <w:r w:rsidR="008F73E6" w:rsidRPr="00C126D0">
              <w:rPr>
                <w:rFonts w:cstheme="minorHAnsi"/>
                <w:sz w:val="20"/>
                <w:szCs w:val="20"/>
              </w:rPr>
              <w:t>degree</w:t>
            </w:r>
            <w:r w:rsidRPr="00C126D0">
              <w:rPr>
                <w:rFonts w:cstheme="minorHAnsi"/>
                <w:sz w:val="20"/>
                <w:szCs w:val="20"/>
              </w:rPr>
              <w:t xml:space="preserve"> of </w:t>
            </w:r>
            <w:r w:rsidR="008F73E6">
              <w:rPr>
                <w:rFonts w:cstheme="minorHAnsi"/>
                <w:sz w:val="20"/>
                <w:szCs w:val="20"/>
              </w:rPr>
              <w:t xml:space="preserve">the </w:t>
            </w:r>
            <w:r w:rsidR="008F73E6" w:rsidRPr="00C126D0">
              <w:rPr>
                <w:rFonts w:cstheme="minorHAnsi"/>
                <w:sz w:val="20"/>
                <w:szCs w:val="20"/>
              </w:rPr>
              <w:t>capacities</w:t>
            </w:r>
            <w:r w:rsidR="008F73E6" w:rsidRPr="00C126D0">
              <w:rPr>
                <w:rFonts w:cstheme="minorHAnsi"/>
                <w:sz w:val="20"/>
                <w:szCs w:val="20"/>
              </w:rPr>
              <w:t xml:space="preserve"> </w:t>
            </w:r>
            <w:r w:rsidR="008F73E6">
              <w:rPr>
                <w:rFonts w:cstheme="minorHAnsi"/>
                <w:sz w:val="20"/>
                <w:szCs w:val="20"/>
              </w:rPr>
              <w:t xml:space="preserve">of </w:t>
            </w:r>
            <w:r w:rsidRPr="00C126D0">
              <w:rPr>
                <w:rFonts w:cstheme="minorHAnsi"/>
                <w:sz w:val="20"/>
                <w:szCs w:val="20"/>
              </w:rPr>
              <w:t>community resilience that correlated favorably with established indices.</w:t>
            </w:r>
          </w:p>
        </w:tc>
        <w:tc>
          <w:tcPr>
            <w:tcW w:w="2340" w:type="dxa"/>
          </w:tcPr>
          <w:p w14:paraId="5E1ECB0E" w14:textId="4383C71F" w:rsidR="00956C1D" w:rsidRPr="00C126D0" w:rsidRDefault="00956C1D" w:rsidP="00630B13">
            <w:pPr>
              <w:spacing w:after="0"/>
              <w:rPr>
                <w:rFonts w:cstheme="minorHAnsi"/>
                <w:sz w:val="20"/>
                <w:szCs w:val="20"/>
              </w:rPr>
            </w:pPr>
            <w:r w:rsidRPr="00C126D0">
              <w:rPr>
                <w:rFonts w:cstheme="minorHAnsi"/>
                <w:sz w:val="20"/>
                <w:szCs w:val="20"/>
              </w:rPr>
              <w:t xml:space="preserve">Provides a foundation for predicting a community's </w:t>
            </w:r>
            <w:r w:rsidR="00B0116B" w:rsidRPr="00C126D0">
              <w:rPr>
                <w:rFonts w:cstheme="minorHAnsi"/>
                <w:sz w:val="20"/>
                <w:szCs w:val="20"/>
              </w:rPr>
              <w:t>capacity</w:t>
            </w:r>
            <w:r w:rsidRPr="00C126D0">
              <w:rPr>
                <w:rFonts w:cstheme="minorHAnsi"/>
                <w:sz w:val="20"/>
                <w:szCs w:val="20"/>
              </w:rPr>
              <w:t xml:space="preserve"> to recover from </w:t>
            </w:r>
            <w:r w:rsidR="00B0116B">
              <w:rPr>
                <w:rFonts w:cstheme="minorHAnsi"/>
                <w:sz w:val="20"/>
                <w:szCs w:val="20"/>
              </w:rPr>
              <w:t xml:space="preserve">the risks of </w:t>
            </w:r>
            <w:r w:rsidRPr="00C126D0">
              <w:rPr>
                <w:rFonts w:cstheme="minorHAnsi"/>
                <w:sz w:val="20"/>
                <w:szCs w:val="20"/>
              </w:rPr>
              <w:t>disasters.</w:t>
            </w:r>
          </w:p>
        </w:tc>
      </w:tr>
      <w:tr w:rsidR="00956C1D" w:rsidRPr="00C126D0" w14:paraId="4D7A4BFA" w14:textId="77777777" w:rsidTr="00956C1D">
        <w:trPr>
          <w:trHeight w:val="56"/>
        </w:trPr>
        <w:tc>
          <w:tcPr>
            <w:tcW w:w="534" w:type="dxa"/>
          </w:tcPr>
          <w:p w14:paraId="078AE492" w14:textId="5F17D013" w:rsidR="00956C1D" w:rsidRPr="00C126D0" w:rsidRDefault="00956C1D" w:rsidP="00630B13">
            <w:pPr>
              <w:spacing w:after="0"/>
              <w:rPr>
                <w:rFonts w:cstheme="minorHAnsi"/>
                <w:sz w:val="20"/>
                <w:szCs w:val="20"/>
              </w:rPr>
            </w:pPr>
            <w:r w:rsidRPr="00C126D0">
              <w:rPr>
                <w:rFonts w:cstheme="minorHAnsi"/>
                <w:color w:val="000000"/>
                <w:sz w:val="20"/>
                <w:szCs w:val="20"/>
              </w:rPr>
              <w:t>22</w:t>
            </w:r>
          </w:p>
        </w:tc>
        <w:tc>
          <w:tcPr>
            <w:tcW w:w="1321" w:type="dxa"/>
          </w:tcPr>
          <w:p w14:paraId="66FACBDF" w14:textId="464D9414" w:rsidR="00956C1D" w:rsidRPr="00C126D0" w:rsidRDefault="00956C1D" w:rsidP="00630B13">
            <w:pPr>
              <w:spacing w:after="0"/>
              <w:rPr>
                <w:rFonts w:cstheme="minorHAnsi"/>
                <w:sz w:val="20"/>
                <w:szCs w:val="20"/>
              </w:rPr>
            </w:pPr>
            <w:r w:rsidRPr="00C126D0">
              <w:rPr>
                <w:rFonts w:cstheme="minorHAnsi"/>
                <w:sz w:val="20"/>
                <w:szCs w:val="20"/>
              </w:rPr>
              <w:t xml:space="preserve">Felix et al. </w:t>
            </w:r>
            <w:r w:rsidRPr="00C126D0">
              <w:rPr>
                <w:rFonts w:cstheme="minorHAnsi"/>
                <w:sz w:val="20"/>
                <w:szCs w:val="20"/>
              </w:rPr>
              <w:fldChar w:fldCharType="begin" w:fldLock="1"/>
            </w:r>
            <w:r w:rsidRPr="00C126D0">
              <w:rPr>
                <w:rFonts w:cstheme="minorHAnsi"/>
                <w:sz w:val="20"/>
                <w:szCs w:val="20"/>
              </w:rPr>
              <w:instrText>ADDIN CSL_CITATION {"citationItems":[{"id":"ITEM-1","itemData":{"DOI":"10.1007/s10935-010-0206-8","ISSN":"0278095X","PMID":"20135230","abstract":"The purpose of this article is to propose a set of ideas for reinventing America's health care system, one community at a time. Community health development is proposed as a strategy and approach to population health improvement, the ultimate goal of health care reform. The practice of community health development, particularly the partnership approach, provides guidance about how this approach might be employed as a national health care reform strategy. Examples of two communities successfully using the partnership approach illustrate the methods described. Six specific recommendations for policy makers and public administrators in the new administration resulting from our experience with community health development are presented. First, adopt and apply community health development (CHD) as the American approach for facilitating population health improvement and building community capacity. Second, the partnership approach should be promoted as a model for communities to use in implementing CHD. Third, make the community-level the focus for planning, implementing, evaluating, and sustaining a full continuum of health and human services. Fourth, formally recognize the social determinants of health as a key component of a new population/community health status model and as a public policy driver for health care reform, marketplace issues, and population health status improvement at all levels of society. Fifth is a call for a national strategy for the recruitment, training, education, and support of individuals to facilitate this community movement. Sixth, Congress and the Obama Administration adopt and apply CHD as a national strategy and utilize American community-based experiences to bring about a national plan. © 2010 Springer Science+Business Media, LLC.","author":[{"dropping-particle":"","family":"Felix","given":"Michael R.J.","non-dropping-particle":"","parse-names":false,"suffix":""},{"dropping-particle":"","family":"Burdine","given":"James N.","non-dropping-particle":"","parse-names":false,"suffix":""},{"dropping-particle":"","family":"Wendel","given":"Monica L.","non-dropping-particle":"","parse-names":false,"suffix":""},{"dropping-particle":"","family":"Alaniz","given":"Angie","non-dropping-particle":"","parse-names":false,"suffix":""}],"container-title":"Journal of Primary Prevention","id":"ITEM-1","issue":"1-2","issued":{"date-parts":[["2010"]]},"page":"9-19","title":"Community health development: A strategy for reinventing America's health care system one community at a time","type":"article-journal","volume":"31"},"uris":["http://www.mendeley.com/documents/?uuid=cba453e1-cfdd-4b7f-83c1-266a632d305f"]}],"mendeley":{"formattedCitation":"[22]","plainTextFormattedCitation":"[22]","previouslyFormattedCitation":"[22]"},"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[22]</w:t>
            </w:r>
            <w:r w:rsidRPr="00C126D0">
              <w:rPr>
                <w:rFonts w:cstheme="minorHAnsi"/>
                <w:sz w:val="20"/>
                <w:szCs w:val="20"/>
              </w:rPr>
              <w:fldChar w:fldCharType="end"/>
            </w:r>
          </w:p>
        </w:tc>
        <w:tc>
          <w:tcPr>
            <w:tcW w:w="2009" w:type="dxa"/>
          </w:tcPr>
          <w:p w14:paraId="528600BA" w14:textId="2A56DB65" w:rsidR="00956C1D" w:rsidRPr="00C126D0" w:rsidRDefault="008F73E6" w:rsidP="00630B13">
            <w:pPr>
              <w:spacing w:after="0"/>
              <w:rPr>
                <w:rFonts w:cstheme="minorHAnsi"/>
                <w:sz w:val="20"/>
                <w:szCs w:val="20"/>
              </w:rPr>
            </w:pPr>
            <w:r w:rsidRPr="008F73E6">
              <w:rPr>
                <w:rFonts w:cstheme="minorHAnsi"/>
                <w:sz w:val="20"/>
                <w:szCs w:val="20"/>
              </w:rPr>
              <w:t>As a strategy for health care reform, advocate for community health development.</w:t>
            </w:r>
          </w:p>
        </w:tc>
        <w:tc>
          <w:tcPr>
            <w:tcW w:w="1373" w:type="dxa"/>
          </w:tcPr>
          <w:p w14:paraId="79D6BCDA" w14:textId="3F05E47C"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3E17FCDE" w14:textId="601B4A27" w:rsidR="00956C1D" w:rsidRPr="00C126D0" w:rsidRDefault="00956C1D" w:rsidP="00630B13">
            <w:pPr>
              <w:spacing w:after="0"/>
              <w:rPr>
                <w:rFonts w:cstheme="minorHAnsi"/>
                <w:sz w:val="20"/>
                <w:szCs w:val="20"/>
              </w:rPr>
            </w:pPr>
            <w:r w:rsidRPr="00C126D0">
              <w:rPr>
                <w:rFonts w:cstheme="minorHAnsi"/>
                <w:sz w:val="20"/>
                <w:szCs w:val="20"/>
              </w:rPr>
              <w:t>Emphasizes the importance of community-level planning and engagement for health and human services.</w:t>
            </w:r>
          </w:p>
        </w:tc>
        <w:tc>
          <w:tcPr>
            <w:tcW w:w="2340" w:type="dxa"/>
          </w:tcPr>
          <w:p w14:paraId="394CAC49" w14:textId="11F8A398" w:rsidR="00956C1D" w:rsidRPr="00C126D0" w:rsidRDefault="00956C1D" w:rsidP="00630B13">
            <w:pPr>
              <w:spacing w:after="0"/>
              <w:rPr>
                <w:rFonts w:cstheme="minorHAnsi"/>
                <w:sz w:val="20"/>
                <w:szCs w:val="20"/>
              </w:rPr>
            </w:pPr>
            <w:r w:rsidRPr="00C126D0">
              <w:rPr>
                <w:rFonts w:cstheme="minorHAnsi"/>
                <w:sz w:val="20"/>
                <w:szCs w:val="20"/>
              </w:rPr>
              <w:t>Calls for a national strategy that incorporates community-based experiences.</w:t>
            </w:r>
          </w:p>
        </w:tc>
      </w:tr>
      <w:tr w:rsidR="00956C1D" w:rsidRPr="00C126D0" w14:paraId="7108AEEC" w14:textId="77777777" w:rsidTr="00956C1D">
        <w:trPr>
          <w:trHeight w:val="56"/>
        </w:trPr>
        <w:tc>
          <w:tcPr>
            <w:tcW w:w="534" w:type="dxa"/>
          </w:tcPr>
          <w:p w14:paraId="28630026" w14:textId="2F965F37" w:rsidR="00956C1D" w:rsidRPr="00C126D0" w:rsidRDefault="00956C1D" w:rsidP="00630B13">
            <w:pPr>
              <w:spacing w:after="0"/>
              <w:rPr>
                <w:rFonts w:cstheme="minorHAnsi"/>
                <w:sz w:val="20"/>
                <w:szCs w:val="20"/>
              </w:rPr>
            </w:pPr>
            <w:r w:rsidRPr="00C126D0">
              <w:rPr>
                <w:rFonts w:cstheme="minorHAnsi"/>
                <w:color w:val="000000"/>
                <w:sz w:val="20"/>
                <w:szCs w:val="20"/>
              </w:rPr>
              <w:t>23</w:t>
            </w:r>
          </w:p>
        </w:tc>
        <w:tc>
          <w:tcPr>
            <w:tcW w:w="1321" w:type="dxa"/>
          </w:tcPr>
          <w:p w14:paraId="41D8863A" w14:textId="7B56A6E5" w:rsidR="00956C1D" w:rsidRPr="00C126D0" w:rsidRDefault="00956C1D" w:rsidP="00630B13">
            <w:pPr>
              <w:spacing w:after="0"/>
              <w:rPr>
                <w:rFonts w:cstheme="minorHAnsi"/>
                <w:sz w:val="20"/>
                <w:szCs w:val="20"/>
              </w:rPr>
            </w:pPr>
            <w:r w:rsidRPr="00C126D0">
              <w:rPr>
                <w:rFonts w:cstheme="minorHAnsi"/>
                <w:sz w:val="20"/>
                <w:szCs w:val="20"/>
              </w:rPr>
              <w:t xml:space="preserve">Davoudi et al. </w:t>
            </w:r>
            <w:r w:rsidRPr="00C126D0">
              <w:rPr>
                <w:rFonts w:cstheme="minorHAnsi"/>
                <w:sz w:val="20"/>
                <w:szCs w:val="20"/>
              </w:rPr>
              <w:fldChar w:fldCharType="begin" w:fldLock="1"/>
            </w:r>
            <w:r w:rsidRPr="00C126D0">
              <w:rPr>
                <w:rFonts w:cstheme="minorHAnsi"/>
                <w:sz w:val="20"/>
                <w:szCs w:val="20"/>
              </w:rPr>
              <w:instrText>ADDIN CSL_CITATION {"citationItems":[{"id":"ITEM-1","itemData":{"DOI":"10.1080/14649357.2012.677124","ISSN":"1470000X","author":[{"dropping-particle":"","family":"Davoudi","given":"Simin","non-dropping-particle":"","parse-names":false,"suffix":""},{"dropping-particle":"","family":"Shaw","given":"Keith","non-dropping-particle":"","parse-names":false,"suffix":""},{"dropping-particle":"","family":"Haider","given":"L. Jamila","non-dropping-particle":"","parse-names":false,"suffix":""},{"dropping-particle":"","family":"Quinlan","given":"Allyson E.","non-dropping-particle":"","parse-names":false,"suffix":""},{"dropping-particle":"","family":"Peterson","given":"Garry D.","non-dropping-particle":"","parse-names":false,"suffix":""},{"dropping-particle":"","family":"Wilkinson","given":"Cathy","non-dropping-particle":"","parse-names":false,"suffix":""},{"dropping-particle":"","family":"Fünfgeld","given":"Hartmut","non-dropping-particle":"","parse-names":false,"suffix":""},{"dropping-particle":"","family":"McEvoy","given":"Darryn","non-dropping-particle":"","parse-names":false,"suffix":""},{"dropping-particle":"","family":"Porter","given":"Libby","non-dropping-particle":"","parse-names":false,"suffix":""}],"container-title":"Planning Theory and Practice","id":"ITEM-1","issue":"2","issued":{"date-parts":[["2012"]]},"page":"299-333","title":"Resilience: A Bridging Concept or a Dead End? \"Reframing\" Resilience: Challenges for Planning Theory and Practice Interacting Traps: Resilience Assessment of a Pasture Management System in Northern Afghanistan Urban Resilience: What Does it Mean in Planni","type":"article-journal","volume":"13"},"uris":["http://www.mendeley.com/documents/?uuid=bae089bd-9e33-469f-bf1d-04a3c50aee54"]}],"mendeley":{"formattedCitation":"[23]","plainTextFormattedCitation":"[23]","previouslyFormattedCitation":"[23]"},"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[23]</w:t>
            </w:r>
            <w:r w:rsidRPr="00C126D0">
              <w:rPr>
                <w:rFonts w:cstheme="minorHAnsi"/>
                <w:sz w:val="20"/>
                <w:szCs w:val="20"/>
              </w:rPr>
              <w:fldChar w:fldCharType="end"/>
            </w:r>
          </w:p>
        </w:tc>
        <w:tc>
          <w:tcPr>
            <w:tcW w:w="2009" w:type="dxa"/>
          </w:tcPr>
          <w:p w14:paraId="2DD84406" w14:textId="4A94C291" w:rsidR="00956C1D" w:rsidRPr="00C126D0" w:rsidRDefault="00956C1D" w:rsidP="00630B13">
            <w:pPr>
              <w:spacing w:after="0"/>
              <w:rPr>
                <w:rFonts w:cstheme="minorHAnsi"/>
                <w:sz w:val="20"/>
                <w:szCs w:val="20"/>
              </w:rPr>
            </w:pPr>
            <w:r w:rsidRPr="00C126D0">
              <w:rPr>
                <w:rFonts w:cstheme="minorHAnsi"/>
                <w:sz w:val="20"/>
                <w:szCs w:val="20"/>
              </w:rPr>
              <w:t>Ex</w:t>
            </w:r>
            <w:r w:rsidR="008F73E6">
              <w:rPr>
                <w:rFonts w:cstheme="minorHAnsi"/>
                <w:sz w:val="20"/>
                <w:szCs w:val="20"/>
              </w:rPr>
              <w:t>plain</w:t>
            </w:r>
            <w:r w:rsidRPr="00C126D0">
              <w:rPr>
                <w:rFonts w:cstheme="minorHAnsi"/>
                <w:sz w:val="20"/>
                <w:szCs w:val="20"/>
              </w:rPr>
              <w:t xml:space="preserve"> the resilience </w:t>
            </w:r>
            <w:r w:rsidR="008F73E6" w:rsidRPr="00C126D0">
              <w:rPr>
                <w:rFonts w:cstheme="minorHAnsi"/>
                <w:sz w:val="20"/>
                <w:szCs w:val="20"/>
              </w:rPr>
              <w:t>concept</w:t>
            </w:r>
            <w:r w:rsidR="008F73E6" w:rsidRPr="00C126D0">
              <w:rPr>
                <w:rFonts w:cstheme="minorHAnsi"/>
                <w:sz w:val="20"/>
                <w:szCs w:val="20"/>
              </w:rPr>
              <w:t xml:space="preserve"> </w:t>
            </w:r>
            <w:r w:rsidRPr="00C126D0">
              <w:rPr>
                <w:rFonts w:cstheme="minorHAnsi"/>
                <w:sz w:val="20"/>
                <w:szCs w:val="20"/>
              </w:rPr>
              <w:t>in the context of climate change adaptation.</w:t>
            </w:r>
          </w:p>
        </w:tc>
        <w:tc>
          <w:tcPr>
            <w:tcW w:w="1373" w:type="dxa"/>
          </w:tcPr>
          <w:p w14:paraId="5CB65F0A" w14:textId="63C0EF14"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5B68D9B3" w14:textId="7BA0CF64" w:rsidR="00956C1D" w:rsidRPr="00C126D0" w:rsidRDefault="00956C1D" w:rsidP="00630B13">
            <w:pPr>
              <w:spacing w:after="0"/>
              <w:rPr>
                <w:rFonts w:cstheme="minorHAnsi"/>
                <w:sz w:val="20"/>
                <w:szCs w:val="20"/>
              </w:rPr>
            </w:pPr>
            <w:r w:rsidRPr="00C126D0">
              <w:rPr>
                <w:rFonts w:cstheme="minorHAnsi"/>
                <w:sz w:val="20"/>
                <w:szCs w:val="20"/>
              </w:rPr>
              <w:t>Emphasizes adaptation as an ongoing process revolving around social learning and institutional change.</w:t>
            </w:r>
          </w:p>
        </w:tc>
        <w:tc>
          <w:tcPr>
            <w:tcW w:w="2340" w:type="dxa"/>
          </w:tcPr>
          <w:p w14:paraId="6074846A" w14:textId="63413C91" w:rsidR="00956C1D" w:rsidRPr="00C126D0" w:rsidRDefault="00956C1D" w:rsidP="00630B13">
            <w:pPr>
              <w:spacing w:after="0"/>
              <w:rPr>
                <w:rFonts w:cstheme="minorHAnsi"/>
                <w:sz w:val="20"/>
                <w:szCs w:val="20"/>
              </w:rPr>
            </w:pPr>
            <w:r w:rsidRPr="00C126D0">
              <w:rPr>
                <w:rFonts w:cstheme="minorHAnsi"/>
                <w:sz w:val="20"/>
                <w:szCs w:val="20"/>
              </w:rPr>
              <w:t>Highlights the need for value-based decision-making in climate change adaptation.</w:t>
            </w:r>
          </w:p>
        </w:tc>
      </w:tr>
      <w:tr w:rsidR="00956C1D" w:rsidRPr="00C126D0" w14:paraId="640BAB54" w14:textId="77777777" w:rsidTr="00956C1D">
        <w:trPr>
          <w:trHeight w:val="56"/>
        </w:trPr>
        <w:tc>
          <w:tcPr>
            <w:tcW w:w="534" w:type="dxa"/>
          </w:tcPr>
          <w:p w14:paraId="7A793610" w14:textId="36CF938D" w:rsidR="00956C1D" w:rsidRPr="00C126D0" w:rsidRDefault="00956C1D" w:rsidP="00630B13">
            <w:pPr>
              <w:spacing w:after="0"/>
              <w:rPr>
                <w:rFonts w:cstheme="minorHAnsi"/>
                <w:sz w:val="20"/>
                <w:szCs w:val="20"/>
              </w:rPr>
            </w:pPr>
            <w:r w:rsidRPr="00C126D0">
              <w:rPr>
                <w:rFonts w:cstheme="minorHAnsi"/>
                <w:color w:val="000000"/>
                <w:sz w:val="20"/>
                <w:szCs w:val="20"/>
              </w:rPr>
              <w:t>24</w:t>
            </w:r>
          </w:p>
        </w:tc>
        <w:tc>
          <w:tcPr>
            <w:tcW w:w="1321" w:type="dxa"/>
          </w:tcPr>
          <w:p w14:paraId="786F6071" w14:textId="7DD18C58" w:rsidR="00956C1D" w:rsidRPr="00C126D0" w:rsidRDefault="00956C1D" w:rsidP="00630B13">
            <w:pPr>
              <w:spacing w:after="0"/>
              <w:rPr>
                <w:rFonts w:cstheme="minorHAnsi"/>
                <w:sz w:val="20"/>
                <w:szCs w:val="20"/>
              </w:rPr>
            </w:pPr>
            <w:r w:rsidRPr="00C126D0">
              <w:rPr>
                <w:rFonts w:cstheme="minorHAnsi"/>
                <w:sz w:val="20"/>
                <w:szCs w:val="20"/>
              </w:rPr>
              <w:t xml:space="preserve">Gaillard </w:t>
            </w:r>
            <w:r>
              <w:rPr>
                <w:rFonts w:cstheme="minorHAnsi"/>
                <w:sz w:val="20"/>
                <w:szCs w:val="20"/>
              </w:rPr>
              <w:t>and</w:t>
            </w:r>
            <w:r w:rsidRPr="00C126D0">
              <w:rPr>
                <w:rFonts w:cstheme="minorHAnsi"/>
                <w:sz w:val="20"/>
                <w:szCs w:val="20"/>
              </w:rPr>
              <w:t xml:space="preserve"> Mercer </w:t>
            </w:r>
            <w:r w:rsidRPr="00C126D0">
              <w:rPr>
                <w:rFonts w:cstheme="minorHAnsi"/>
                <w:sz w:val="20"/>
                <w:szCs w:val="20"/>
              </w:rPr>
              <w:fldChar w:fldCharType="begin" w:fldLock="1"/>
            </w:r>
            <w:r w:rsidRPr="00C126D0">
              <w:rPr>
                <w:rFonts w:cstheme="minorHAnsi"/>
                <w:sz w:val="20"/>
                <w:szCs w:val="20"/>
              </w:rPr>
              <w:instrText>ADDIN CSL_CITATION {"citationItems":[{"id":"ITEM-1","itemData":{"DOI":"10.1177/0309132512446717","ISSN":"03091325","abstract":"A large amount of studies have been produced on disaster-related issues over the last century of research, yet there continues to be gaps in translating knowledge into action. This paper discusses the battlefield of knowledge and action for disaster risk reduction (DRR), outlining the need for a more integrative process consisting of bottom-up and top-down actions, local and scientific knowledge, and a vast array of stakeholders. The challenges in addressing the need for an integrated process are outlined alongside a potential road map for bridging gaps in DRR. The final section addresses issues to be overcome in order to implement the aforementioned road map. Future ways to bridge gaps in DRR between bottom-up and top-down actions, and local and scientific knowledge are proposed. © The Author(s) 2012.","author":[{"dropping-particle":"","family":"Gaillard","given":"J. C.","non-dropping-particle":"","parse-names":false,"suffix":""},{"dropping-particle":"","family":"Mercer","given":"Jessica","non-dropping-particle":"","parse-names":false,"suffix":""}],"container-title":"Progress in Human Geography","id":"ITEM-1","issue":"1","issued":{"date-parts":[["2013"]]},"page":"93-114","title":"From knowledge to action: Bridging gaps in disaster risk reduction","type":"article-journal","volume":"37"},"uris":["http://www.mendeley.com/documents/?uuid=af73eb38-df1c-4ab0-a82a-e30fc8a8a459"]}],"mendeley":{"formattedCitation":"[24]","plainTextFormattedCitation":"[24]","previouslyFormattedCitation":"[24]"},"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[24]</w:t>
            </w:r>
            <w:r w:rsidRPr="00C126D0">
              <w:rPr>
                <w:rFonts w:cstheme="minorHAnsi"/>
                <w:sz w:val="20"/>
                <w:szCs w:val="20"/>
              </w:rPr>
              <w:fldChar w:fldCharType="end"/>
            </w:r>
          </w:p>
        </w:tc>
        <w:tc>
          <w:tcPr>
            <w:tcW w:w="2009" w:type="dxa"/>
          </w:tcPr>
          <w:p w14:paraId="4C788854" w14:textId="6CD2566D" w:rsidR="00956C1D" w:rsidRPr="00C126D0" w:rsidRDefault="00956C1D" w:rsidP="00630B13">
            <w:pPr>
              <w:spacing w:after="0"/>
              <w:rPr>
                <w:rFonts w:cstheme="minorHAnsi"/>
                <w:sz w:val="20"/>
                <w:szCs w:val="20"/>
              </w:rPr>
            </w:pPr>
            <w:r w:rsidRPr="00C126D0">
              <w:rPr>
                <w:rFonts w:cstheme="minorHAnsi"/>
                <w:sz w:val="20"/>
                <w:szCs w:val="20"/>
              </w:rPr>
              <w:t>Discuss the challenges in translating knowledge into action for disaster risk reduction.</w:t>
            </w:r>
          </w:p>
        </w:tc>
        <w:tc>
          <w:tcPr>
            <w:tcW w:w="1373" w:type="dxa"/>
          </w:tcPr>
          <w:p w14:paraId="4712D1B0" w14:textId="5C4A8736"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3803183E" w14:textId="323206F3" w:rsidR="00956C1D" w:rsidRPr="00C126D0" w:rsidRDefault="00956C1D" w:rsidP="00630B13">
            <w:pPr>
              <w:spacing w:after="0"/>
              <w:rPr>
                <w:rFonts w:cstheme="minorHAnsi"/>
                <w:sz w:val="20"/>
                <w:szCs w:val="20"/>
              </w:rPr>
            </w:pPr>
            <w:r w:rsidRPr="00C126D0">
              <w:rPr>
                <w:rFonts w:cstheme="minorHAnsi"/>
                <w:sz w:val="20"/>
                <w:szCs w:val="20"/>
              </w:rPr>
              <w:t>Emphasizes the need for an integrative process involving various stakeholders for effective disaster risk reduction.</w:t>
            </w:r>
          </w:p>
        </w:tc>
        <w:tc>
          <w:tcPr>
            <w:tcW w:w="2340" w:type="dxa"/>
          </w:tcPr>
          <w:p w14:paraId="69C5CB0D" w14:textId="60A1E709" w:rsidR="00956C1D" w:rsidRPr="00C126D0" w:rsidRDefault="000A0D0C" w:rsidP="00630B13">
            <w:pPr>
              <w:spacing w:after="0"/>
              <w:rPr>
                <w:rFonts w:cstheme="minorHAnsi"/>
                <w:sz w:val="20"/>
                <w:szCs w:val="20"/>
              </w:rPr>
            </w:pPr>
            <w:r w:rsidRPr="000A0D0C">
              <w:rPr>
                <w:rFonts w:cstheme="minorHAnsi"/>
                <w:sz w:val="20"/>
                <w:szCs w:val="20"/>
              </w:rPr>
              <w:t xml:space="preserve">Strategies for bridging the divide between top-down and bottom-up approaches to </w:t>
            </w:r>
            <w:r w:rsidRPr="000A0D0C">
              <w:rPr>
                <w:rFonts w:cstheme="minorHAnsi"/>
                <w:sz w:val="20"/>
                <w:szCs w:val="20"/>
              </w:rPr>
              <w:t>disaster</w:t>
            </w:r>
            <w:r w:rsidRPr="000A0D0C">
              <w:rPr>
                <w:rFonts w:cstheme="minorHAnsi"/>
                <w:sz w:val="20"/>
                <w:szCs w:val="20"/>
              </w:rPr>
              <w:t xml:space="preserve"> risk reduction are proposed.</w:t>
            </w:r>
          </w:p>
        </w:tc>
      </w:tr>
      <w:tr w:rsidR="00956C1D" w:rsidRPr="00C126D0" w14:paraId="10338134" w14:textId="77777777" w:rsidTr="00956C1D">
        <w:trPr>
          <w:trHeight w:val="56"/>
        </w:trPr>
        <w:tc>
          <w:tcPr>
            <w:tcW w:w="534" w:type="dxa"/>
          </w:tcPr>
          <w:p w14:paraId="29515983" w14:textId="545C6881" w:rsidR="00956C1D" w:rsidRPr="00C126D0" w:rsidRDefault="00956C1D" w:rsidP="00630B13">
            <w:pPr>
              <w:spacing w:after="0"/>
              <w:rPr>
                <w:rFonts w:cstheme="minorHAnsi"/>
                <w:sz w:val="20"/>
                <w:szCs w:val="20"/>
              </w:rPr>
            </w:pPr>
            <w:r w:rsidRPr="00C126D0">
              <w:rPr>
                <w:rFonts w:cstheme="minorHAnsi"/>
                <w:color w:val="000000"/>
                <w:sz w:val="20"/>
                <w:szCs w:val="20"/>
              </w:rPr>
              <w:t>25</w:t>
            </w:r>
          </w:p>
        </w:tc>
        <w:tc>
          <w:tcPr>
            <w:tcW w:w="1321" w:type="dxa"/>
          </w:tcPr>
          <w:p w14:paraId="48EA779D" w14:textId="3ADBD787" w:rsidR="00956C1D" w:rsidRPr="00C126D0" w:rsidRDefault="00956C1D" w:rsidP="00630B13">
            <w:pPr>
              <w:spacing w:after="0"/>
              <w:rPr>
                <w:rFonts w:cstheme="minorHAnsi"/>
                <w:sz w:val="20"/>
                <w:szCs w:val="20"/>
              </w:rPr>
            </w:pPr>
            <w:proofErr w:type="spellStart"/>
            <w:r w:rsidRPr="00C126D0">
              <w:rPr>
                <w:rFonts w:cstheme="minorHAnsi"/>
                <w:sz w:val="20"/>
                <w:szCs w:val="20"/>
              </w:rPr>
              <w:t>Wachinger</w:t>
            </w:r>
            <w:proofErr w:type="spellEnd"/>
            <w:r w:rsidRPr="00C126D0">
              <w:rPr>
                <w:rFonts w:cstheme="minorHAnsi"/>
                <w:sz w:val="20"/>
                <w:szCs w:val="20"/>
              </w:rPr>
              <w:t xml:space="preserve"> et al. </w:t>
            </w:r>
            <w:r w:rsidRPr="00C126D0">
              <w:rPr>
                <w:rFonts w:cstheme="minorHAnsi"/>
                <w:sz w:val="20"/>
                <w:szCs w:val="20"/>
              </w:rPr>
              <w:fldChar w:fldCharType="begin" w:fldLock="1"/>
            </w:r>
            <w:r w:rsidRPr="00C126D0">
              <w:rPr>
                <w:rFonts w:cstheme="minorHAnsi"/>
                <w:sz w:val="20"/>
                <w:szCs w:val="20"/>
              </w:rPr>
              <w:instrText>ADDIN CSL_CITATION {"citationItems":[{"id":"ITEM-1","itemData":{"DOI":"10.1111/j.1539-6924.2012.01942.x","ISSN":"02724332","PMID":"23278120","abstract":"This article reviews the main insights from selected literature on risk perception, particularly in connection with natural hazards. It includes numerous case studies on perception and social behavior dealing with floods, droughts, earthquakes, volcano eruptions, wild fires, and landslides. The review reveals that personal experience of a natural hazard and trust-or lack of trust-in authorities and experts have the most substantial impact on risk perception. Cultural and individual factors such as media coverage, age, gender, education, income, social status, and others do not play such an important role but act as mediators or amplifiers of the main causal connections between experience, trust, perception, and preparedness to take protective actions. When analyzing the factors of experience and trust on risk perception and on the likeliness of individuals to take preparedness action, the review found that a risk perception paradox exists in that it is assumed that high risk perception will lead to personal preparedness and, in the next step, to risk mitigation behavior. However, this is not necessarily true. In fact, the opposite can occur if individuals with high risk perception still choose not to personally prepare themselves in the face of a natural hazard. Therefore, based on the results of the review, this article offers three explanations suggesting why this paradox might occur. These findings have implications for future risk governance and communication as well as for the willingness of individuals to invest in risk preparedness or risk mitigation actions. © 2012 Society for Risk Analysis.","author":[{"dropping-particle":"","family":"Wachinger","given":"Gisela","non-dropping-particle":"","parse-names":false,"suffix":""},{"dropping-particle":"","family":"Renn","given":"Ortwin","non-dropping-particle":"","parse-names":false,"suffix":""},{"dropping-particle":"","family":"Begg","given":"Chloe","non-dropping-particle":"","parse-names":false,"suffix":""},{"dropping-particle":"","family":"Kuhlicke","given":"Christian","non-dropping-particle":"","parse-names":false,"suffix":""}],"container-title":"Risk Analysis","id":"ITEM-1","issue":"6","issued":{"date-parts":[["2013"]]},"page":"1049-1065","title":"The risk perception paradox-implications for governance and communication of natural hazards","type":"article-journal","volume":"33"},"uris":["http://www.mendeley.com/documents/?uuid=650e3a40-d76f-4506-92fd-8a6ea9561125"]}],"mendeley":{"formattedCitation":"[25]","plainTextFormattedCitation":"[25]","previouslyFormattedCitation":"[25]"},"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[25]</w:t>
            </w:r>
            <w:r w:rsidRPr="00C126D0">
              <w:rPr>
                <w:rFonts w:cstheme="minorHAnsi"/>
                <w:sz w:val="20"/>
                <w:szCs w:val="20"/>
              </w:rPr>
              <w:fldChar w:fldCharType="end"/>
            </w:r>
          </w:p>
        </w:tc>
        <w:tc>
          <w:tcPr>
            <w:tcW w:w="2009" w:type="dxa"/>
          </w:tcPr>
          <w:p w14:paraId="01D9A391" w14:textId="4A5C4CF2" w:rsidR="00956C1D" w:rsidRPr="00C126D0" w:rsidRDefault="00956C1D" w:rsidP="00630B13">
            <w:pPr>
              <w:spacing w:after="0"/>
              <w:rPr>
                <w:rFonts w:cstheme="minorHAnsi"/>
                <w:sz w:val="20"/>
                <w:szCs w:val="20"/>
              </w:rPr>
            </w:pPr>
            <w:r w:rsidRPr="00C126D0">
              <w:rPr>
                <w:rFonts w:cstheme="minorHAnsi"/>
                <w:sz w:val="20"/>
                <w:szCs w:val="20"/>
              </w:rPr>
              <w:t>Review risk perception literature in relation to natural hazards.</w:t>
            </w:r>
          </w:p>
        </w:tc>
        <w:tc>
          <w:tcPr>
            <w:tcW w:w="1373" w:type="dxa"/>
          </w:tcPr>
          <w:p w14:paraId="1564A382" w14:textId="5200AE37" w:rsidR="00956C1D" w:rsidRPr="00C126D0" w:rsidRDefault="00956C1D" w:rsidP="00630B13">
            <w:pPr>
              <w:spacing w:after="0"/>
              <w:rPr>
                <w:rFonts w:cstheme="minorHAnsi"/>
                <w:sz w:val="20"/>
                <w:szCs w:val="20"/>
              </w:rPr>
            </w:pPr>
            <w:r w:rsidRPr="00C126D0">
              <w:rPr>
                <w:rFonts w:cstheme="minorHAnsi"/>
                <w:sz w:val="20"/>
                <w:szCs w:val="20"/>
              </w:rPr>
              <w:t>Literature review</w:t>
            </w:r>
          </w:p>
        </w:tc>
        <w:tc>
          <w:tcPr>
            <w:tcW w:w="2408" w:type="dxa"/>
          </w:tcPr>
          <w:p w14:paraId="50E15DB0" w14:textId="7F2846B3" w:rsidR="00956C1D" w:rsidRPr="00C126D0" w:rsidRDefault="00956C1D" w:rsidP="00630B13">
            <w:pPr>
              <w:spacing w:after="0"/>
              <w:rPr>
                <w:rFonts w:cstheme="minorHAnsi"/>
                <w:sz w:val="20"/>
                <w:szCs w:val="20"/>
              </w:rPr>
            </w:pPr>
            <w:r w:rsidRPr="00C126D0">
              <w:rPr>
                <w:rFonts w:cstheme="minorHAnsi"/>
                <w:sz w:val="20"/>
                <w:szCs w:val="20"/>
              </w:rPr>
              <w:t>Identifies a risk perception paradox where high risk perception doesn't necessarily lead to preparedness.</w:t>
            </w:r>
          </w:p>
        </w:tc>
        <w:tc>
          <w:tcPr>
            <w:tcW w:w="2340" w:type="dxa"/>
          </w:tcPr>
          <w:p w14:paraId="70D400E7" w14:textId="472D2F3F" w:rsidR="00956C1D" w:rsidRPr="00C126D0" w:rsidRDefault="00956C1D" w:rsidP="00630B13">
            <w:pPr>
              <w:spacing w:after="0"/>
              <w:rPr>
                <w:rFonts w:cstheme="minorHAnsi"/>
                <w:sz w:val="20"/>
                <w:szCs w:val="20"/>
              </w:rPr>
            </w:pPr>
            <w:r w:rsidRPr="00C126D0">
              <w:rPr>
                <w:rFonts w:cstheme="minorHAnsi"/>
                <w:sz w:val="20"/>
                <w:szCs w:val="20"/>
              </w:rPr>
              <w:t>Provides insights for risk governance and communication strategies.</w:t>
            </w:r>
          </w:p>
        </w:tc>
      </w:tr>
      <w:tr w:rsidR="00956C1D" w:rsidRPr="00C126D0" w14:paraId="40CC2B0E" w14:textId="77777777" w:rsidTr="00956C1D">
        <w:trPr>
          <w:trHeight w:val="56"/>
        </w:trPr>
        <w:tc>
          <w:tcPr>
            <w:tcW w:w="534" w:type="dxa"/>
          </w:tcPr>
          <w:p w14:paraId="2B8CA27E" w14:textId="7822065C" w:rsidR="00956C1D" w:rsidRPr="00C126D0" w:rsidRDefault="00956C1D" w:rsidP="00630B13">
            <w:pPr>
              <w:spacing w:after="0"/>
              <w:rPr>
                <w:rFonts w:cstheme="minorHAnsi"/>
                <w:sz w:val="20"/>
                <w:szCs w:val="20"/>
              </w:rPr>
            </w:pPr>
            <w:r w:rsidRPr="00C126D0">
              <w:rPr>
                <w:rFonts w:cstheme="minorHAnsi"/>
                <w:color w:val="000000"/>
                <w:sz w:val="20"/>
                <w:szCs w:val="20"/>
              </w:rPr>
              <w:t>26</w:t>
            </w:r>
          </w:p>
        </w:tc>
        <w:tc>
          <w:tcPr>
            <w:tcW w:w="1321" w:type="dxa"/>
          </w:tcPr>
          <w:p w14:paraId="3A895BA5" w14:textId="5CFE590D" w:rsidR="00956C1D" w:rsidRPr="00C126D0" w:rsidRDefault="00956C1D" w:rsidP="00630B13">
            <w:pPr>
              <w:spacing w:after="0"/>
              <w:rPr>
                <w:rFonts w:cstheme="minorHAnsi"/>
                <w:sz w:val="20"/>
                <w:szCs w:val="20"/>
              </w:rPr>
            </w:pPr>
            <w:r w:rsidRPr="00C126D0">
              <w:rPr>
                <w:rFonts w:cstheme="minorHAnsi"/>
                <w:sz w:val="20"/>
                <w:szCs w:val="20"/>
              </w:rPr>
              <w:t>Johannessen</w:t>
            </w:r>
            <w:r>
              <w:rPr>
                <w:rFonts w:cstheme="minorHAnsi"/>
                <w:sz w:val="20"/>
                <w:szCs w:val="20"/>
              </w:rPr>
              <w:t xml:space="preserve"> </w:t>
            </w:r>
            <w:r w:rsidRPr="00C126D0">
              <w:rPr>
                <w:rFonts w:cstheme="minorHAnsi"/>
                <w:sz w:val="20"/>
                <w:szCs w:val="20"/>
              </w:rPr>
              <w:t xml:space="preserve">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{"citationItems":[{"id":"ITEM-1","itemData":{"DOI":"10.1016/j.ijdrr.2014.07.002","ISSN":"22124209","abstract":"The aim of this paper is to enhance understanding of how the resilience of water, sanitation and hygiene (WASH) systems to hazards can be improved. In turn, this aims to inform different strategies for public and private partnerships (PPPs). In a new approach, to acknowledge the multi levelled nature of resilience; risk at the relevant levels are taken into account, (regional/river basin, urban area, and individual). For these levels, we first describe the different components of risk, vulnerability and resilience of the WASH system that influence people's exposure to hazards. We illustrate these components using examples from case studies in the literature. Using a social learning lens - a crucial ingredient of resilience - we examine opportunities for reducing risks through improving public-private engagement. These are presented as strategies which could guide investment decisions: As pressures from climate change and development add up, businesses must become aware of the risks involved in operating and investing without considering ecosystem health, both in terms of the services they provide for mitigating floods and droughts, as well as in terms of the development approaches that define how ecosystems are managed (e.g. \"making space\" for, rather than controlling water). There is a need to develop an institutional culture that strives towards greener and more resilient urban environments with the help of various quality assurance methods. Partnerships must reach the poorer customer base, encourage informal small entrepreneurs, and boost financial mechanisms (e.g. micro-insurance, micro-finance) to support the most vulnerable in society.","author":[{"dropping-particle":"","family":"Johannessen","given":"Åse","non-dropping-particle":"","parse-names":false,"suffix":""},{"dropping-particle":"","family":"Rosemarin","given":"Arno","non-dropping-particle":"","parse-names":false,"suffix":""},{"dropping-particle":"","family":"Thomalla","given":"Frank","non-dropping-particle":"","parse-names":false,"suffix":""},{"dropping-particle":"","family":"Gerger Swartling","given":"Åsa","non-dropping-particle":"","parse-names":false,"suffix":""},{"dropping-particle":"","family":"Axel Stenström","given":"Thor","non-dropping-particle":"","parse-names":false,"suffix":""},{"dropping-particle":"","family":"Vulturius","given":"Gregor","non-dropping-particle":"","parse-names":false,"suffix":""}],"container-title":"International Journal of Disaster Risk Reduction","id":"ITEM-1","issue":"PA","issued":{"date-parts":[["2014"]]},"page":"102-115","publisher":"Elsevier","title":"Strategies for building resilience to hazards in water, sanitation and hygiene (WASH) systems: The role of public private partnerships","type":"article-journal","volume":"10"},"uris":["http://www.mendeley.com/documents/?uuid=bbc1f628-91e1-4f71-af97-26b6e2315f94"]}],"mendeley":{"formattedCitation":"[26]","plainTextFormattedCitation":"[26]","previouslyFormattedCitation":"[26]"},"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[26]</w:t>
            </w:r>
            <w:r w:rsidRPr="00C126D0">
              <w:rPr>
                <w:rFonts w:cstheme="minorHAnsi"/>
                <w:sz w:val="20"/>
                <w:szCs w:val="20"/>
              </w:rPr>
              <w:fldChar w:fldCharType="end"/>
            </w:r>
          </w:p>
        </w:tc>
        <w:tc>
          <w:tcPr>
            <w:tcW w:w="2009" w:type="dxa"/>
          </w:tcPr>
          <w:p w14:paraId="4E2F09E3" w14:textId="7361D2FA" w:rsidR="00956C1D" w:rsidRPr="00C126D0" w:rsidRDefault="00956C1D" w:rsidP="00630B13">
            <w:pPr>
              <w:spacing w:after="0"/>
              <w:rPr>
                <w:rFonts w:cstheme="minorHAnsi"/>
                <w:sz w:val="20"/>
                <w:szCs w:val="20"/>
              </w:rPr>
            </w:pPr>
            <w:r w:rsidRPr="00C126D0">
              <w:rPr>
                <w:rFonts w:cstheme="minorHAnsi"/>
                <w:sz w:val="20"/>
                <w:szCs w:val="20"/>
              </w:rPr>
              <w:t>Improve resilience of WASH systems to hazards through public-private partnerships.</w:t>
            </w:r>
          </w:p>
        </w:tc>
        <w:tc>
          <w:tcPr>
            <w:tcW w:w="1373" w:type="dxa"/>
          </w:tcPr>
          <w:p w14:paraId="7D9B3A9A" w14:textId="0AE7B483"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472430CA" w14:textId="7604CA72" w:rsidR="00956C1D" w:rsidRPr="00C126D0" w:rsidRDefault="00956C1D" w:rsidP="00630B13">
            <w:pPr>
              <w:spacing w:after="0"/>
              <w:rPr>
                <w:rFonts w:cstheme="minorHAnsi"/>
                <w:sz w:val="20"/>
                <w:szCs w:val="20"/>
              </w:rPr>
            </w:pPr>
            <w:r w:rsidRPr="00C126D0">
              <w:rPr>
                <w:rFonts w:cstheme="minorHAnsi"/>
                <w:sz w:val="20"/>
                <w:szCs w:val="20"/>
              </w:rPr>
              <w:t>Highlights the importance of ecosystem health and green urban environments for resilience.</w:t>
            </w:r>
          </w:p>
        </w:tc>
        <w:tc>
          <w:tcPr>
            <w:tcW w:w="2340" w:type="dxa"/>
          </w:tcPr>
          <w:p w14:paraId="52707F30" w14:textId="30D774D8" w:rsidR="00956C1D" w:rsidRPr="00C126D0" w:rsidRDefault="00956C1D" w:rsidP="00630B13">
            <w:pPr>
              <w:spacing w:after="0"/>
              <w:rPr>
                <w:rFonts w:cstheme="minorHAnsi"/>
                <w:sz w:val="20"/>
                <w:szCs w:val="20"/>
              </w:rPr>
            </w:pPr>
            <w:r w:rsidRPr="00C126D0">
              <w:rPr>
                <w:rFonts w:cstheme="minorHAnsi"/>
                <w:sz w:val="20"/>
                <w:szCs w:val="20"/>
              </w:rPr>
              <w:t>Calls for partnerships that support vulnerable groups and promote sustainable management.</w:t>
            </w:r>
          </w:p>
        </w:tc>
      </w:tr>
      <w:tr w:rsidR="00956C1D" w:rsidRPr="00C126D0" w14:paraId="51987AC3" w14:textId="77777777" w:rsidTr="00956C1D">
        <w:trPr>
          <w:trHeight w:val="56"/>
        </w:trPr>
        <w:tc>
          <w:tcPr>
            <w:tcW w:w="534" w:type="dxa"/>
          </w:tcPr>
          <w:p w14:paraId="0C2AF3F7" w14:textId="4C5AEE08" w:rsidR="00956C1D" w:rsidRPr="00C126D0" w:rsidRDefault="00956C1D" w:rsidP="00630B13">
            <w:pPr>
              <w:spacing w:after="0"/>
              <w:rPr>
                <w:rFonts w:cstheme="minorHAnsi"/>
                <w:sz w:val="20"/>
                <w:szCs w:val="20"/>
              </w:rPr>
            </w:pPr>
            <w:r w:rsidRPr="00C126D0">
              <w:rPr>
                <w:rFonts w:cstheme="minorHAnsi"/>
                <w:color w:val="000000"/>
                <w:sz w:val="20"/>
                <w:szCs w:val="20"/>
              </w:rPr>
              <w:t>27</w:t>
            </w:r>
          </w:p>
        </w:tc>
        <w:tc>
          <w:tcPr>
            <w:tcW w:w="1321" w:type="dxa"/>
          </w:tcPr>
          <w:p w14:paraId="5B47091B" w14:textId="02A92AF4" w:rsidR="00956C1D" w:rsidRPr="00C126D0" w:rsidRDefault="00956C1D" w:rsidP="00630B13">
            <w:pPr>
              <w:spacing w:after="0"/>
              <w:rPr>
                <w:rFonts w:cstheme="minorHAnsi"/>
                <w:sz w:val="20"/>
                <w:szCs w:val="20"/>
              </w:rPr>
            </w:pPr>
            <w:r w:rsidRPr="00C126D0">
              <w:rPr>
                <w:rFonts w:cstheme="minorHAnsi"/>
                <w:sz w:val="20"/>
                <w:szCs w:val="20"/>
              </w:rPr>
              <w:t xml:space="preserve">Aldrich </w:t>
            </w:r>
            <w:r>
              <w:rPr>
                <w:rFonts w:cstheme="minorHAnsi"/>
                <w:sz w:val="20"/>
                <w:szCs w:val="20"/>
              </w:rPr>
              <w:t xml:space="preserve">and </w:t>
            </w:r>
            <w:r w:rsidRPr="00C126D0">
              <w:rPr>
                <w:rFonts w:cstheme="minorHAnsi"/>
                <w:sz w:val="20"/>
                <w:szCs w:val="20"/>
              </w:rPr>
              <w:t xml:space="preserve">Meyer </w:t>
            </w:r>
            <w:r w:rsidRPr="00C126D0">
              <w:rPr>
                <w:rFonts w:cstheme="minorHAnsi"/>
                <w:sz w:val="20"/>
                <w:szCs w:val="20"/>
              </w:rPr>
              <w:fldChar w:fldCharType="begin" w:fldLock="1"/>
            </w:r>
            <w:r w:rsidRPr="00C126D0">
              <w:rPr>
                <w:rFonts w:cstheme="minorHAnsi"/>
                <w:sz w:val="20"/>
                <w:szCs w:val="20"/>
              </w:rPr>
              <w:instrText>ADDIN CSL_CITATION {"citationItems":[{"id":"ITEM-1","itemData":{"DOI":"10.1177/0002764214550299","ISSN":"15523381","abstract":"Despite the ubiquity of disaster and the increasing toll in human lives and financial costs, much research and policy remain focused on physical infrastructure–centered approaches to such events. Governmental organizations such as the Department of Homeland Security, United States Federal Emergency Management Agency, United States Agency for International Development, and United Kingdom’s Department for International Development continue to spend heavily on hardening levees, raising existing homes, and repairing damaged facilities despite evidence that social, not physical, infrastructure drives resilience. This article highlights the critical role of social capital and networks in disaster survival and recovery and lays out recent literature and evidence on the topic. We look at definitions of social capital, measurement and proxies, types of social capital, and mechanisms and application. The article concludes with concrete policy recommendations for disaster managers, government decision makers, and nongovernmental organizations for increasing resilience to catastrophe through strengthening social infrastructure at the community level.","author":[{"dropping-particle":"","family":"Aldrich","given":"Daniel P.","non-dropping-particle":"","parse-names":false,"suffix":""},{"dropping-particle":"","family":"Meyer","given":"Michelle A.","non-dropping-particle":"","parse-names":false,"suffix":""}],"container-title":"American Behavioral Scientist","id":"ITEM-1","issue":"2","issued":{"date-parts":[["2015","2","1"]]},"page":"254-269","title":"Social Capital and Community Resilience","type":"article-journal","volume":"59"},"uris":["http://www.mendeley.com/documents/?uuid=1fa34fda-614b-44bf-a972-4bf510f332af"]}],"mendeley":{"formattedCitation":"[27]","plainTextFormattedCitation":"[27]","previouslyFormattedCitation":"[27]"},"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[27]</w:t>
            </w:r>
            <w:r w:rsidRPr="00C126D0">
              <w:rPr>
                <w:rFonts w:cstheme="minorHAnsi"/>
                <w:sz w:val="20"/>
                <w:szCs w:val="20"/>
              </w:rPr>
              <w:fldChar w:fldCharType="end"/>
            </w:r>
          </w:p>
        </w:tc>
        <w:tc>
          <w:tcPr>
            <w:tcW w:w="2009" w:type="dxa"/>
          </w:tcPr>
          <w:p w14:paraId="48ABB1B4" w14:textId="1ED27332" w:rsidR="00956C1D" w:rsidRPr="00C126D0" w:rsidRDefault="002C28DC" w:rsidP="00630B13">
            <w:pPr>
              <w:spacing w:after="0"/>
              <w:rPr>
                <w:rFonts w:cstheme="minorHAnsi"/>
                <w:sz w:val="20"/>
                <w:szCs w:val="20"/>
              </w:rPr>
            </w:pPr>
            <w:r w:rsidRPr="002C28DC">
              <w:rPr>
                <w:rFonts w:cstheme="minorHAnsi"/>
                <w:sz w:val="20"/>
                <w:szCs w:val="20"/>
              </w:rPr>
              <w:t>E</w:t>
            </w:r>
            <w:r>
              <w:rPr>
                <w:rFonts w:cstheme="minorHAnsi"/>
                <w:sz w:val="20"/>
                <w:szCs w:val="20"/>
              </w:rPr>
              <w:t>xplore</w:t>
            </w:r>
            <w:r w:rsidRPr="002C28DC">
              <w:rPr>
                <w:rFonts w:cstheme="minorHAnsi"/>
                <w:sz w:val="20"/>
                <w:szCs w:val="20"/>
              </w:rPr>
              <w:t xml:space="preserve"> the significance of social capital in fostering resilience within communities.</w:t>
            </w:r>
          </w:p>
        </w:tc>
        <w:tc>
          <w:tcPr>
            <w:tcW w:w="1373" w:type="dxa"/>
          </w:tcPr>
          <w:p w14:paraId="7DCD343B" w14:textId="55770871" w:rsidR="00956C1D" w:rsidRPr="00C126D0" w:rsidRDefault="00956C1D" w:rsidP="00630B13">
            <w:pPr>
              <w:spacing w:after="0"/>
              <w:rPr>
                <w:rFonts w:cstheme="minorHAnsi"/>
                <w:sz w:val="20"/>
                <w:szCs w:val="20"/>
              </w:rPr>
            </w:pPr>
            <w:r w:rsidRPr="00C126D0">
              <w:rPr>
                <w:rFonts w:cstheme="minorHAnsi"/>
                <w:sz w:val="20"/>
                <w:szCs w:val="20"/>
              </w:rPr>
              <w:t>Theoretical exploration</w:t>
            </w:r>
          </w:p>
        </w:tc>
        <w:tc>
          <w:tcPr>
            <w:tcW w:w="2408" w:type="dxa"/>
          </w:tcPr>
          <w:p w14:paraId="4459C693" w14:textId="2D673737" w:rsidR="00956C1D" w:rsidRPr="00C126D0" w:rsidRDefault="002C28DC" w:rsidP="00630B13">
            <w:pPr>
              <w:spacing w:after="0"/>
              <w:rPr>
                <w:rFonts w:cstheme="minorHAnsi"/>
                <w:sz w:val="20"/>
                <w:szCs w:val="20"/>
              </w:rPr>
            </w:pPr>
            <w:r w:rsidRPr="002C28DC">
              <w:rPr>
                <w:rFonts w:cstheme="minorHAnsi"/>
                <w:sz w:val="20"/>
                <w:szCs w:val="20"/>
              </w:rPr>
              <w:t>Highlights the significance of networks and social capital in disaster recovery and survival.</w:t>
            </w:r>
          </w:p>
        </w:tc>
        <w:tc>
          <w:tcPr>
            <w:tcW w:w="2340" w:type="dxa"/>
          </w:tcPr>
          <w:p w14:paraId="4323DB15" w14:textId="55F0E23C" w:rsidR="00956C1D" w:rsidRPr="00C126D0" w:rsidRDefault="00956C1D" w:rsidP="00630B13">
            <w:pPr>
              <w:spacing w:after="0"/>
              <w:rPr>
                <w:rFonts w:cstheme="minorHAnsi"/>
                <w:sz w:val="20"/>
                <w:szCs w:val="20"/>
              </w:rPr>
            </w:pPr>
            <w:r w:rsidRPr="00C126D0">
              <w:rPr>
                <w:rFonts w:cstheme="minorHAnsi"/>
                <w:sz w:val="20"/>
                <w:szCs w:val="20"/>
              </w:rPr>
              <w:t>Provides policy recommendations for strengthening community resilience through social infrastructure.</w:t>
            </w:r>
          </w:p>
        </w:tc>
      </w:tr>
      <w:tr w:rsidR="00956C1D" w:rsidRPr="00C126D0" w14:paraId="012502E3" w14:textId="77777777" w:rsidTr="00956C1D">
        <w:trPr>
          <w:trHeight w:val="56"/>
        </w:trPr>
        <w:tc>
          <w:tcPr>
            <w:tcW w:w="534" w:type="dxa"/>
          </w:tcPr>
          <w:p w14:paraId="6C403681" w14:textId="576A976D" w:rsidR="00956C1D" w:rsidRPr="00C126D0" w:rsidRDefault="00956C1D" w:rsidP="00630B13">
            <w:pPr>
              <w:spacing w:after="0"/>
              <w:rPr>
                <w:rFonts w:cstheme="minorHAnsi"/>
                <w:sz w:val="20"/>
                <w:szCs w:val="20"/>
              </w:rPr>
            </w:pPr>
            <w:r w:rsidRPr="00C126D0">
              <w:rPr>
                <w:rFonts w:cstheme="minorHAnsi"/>
                <w:color w:val="000000"/>
                <w:sz w:val="20"/>
                <w:szCs w:val="20"/>
              </w:rPr>
              <w:t>28</w:t>
            </w:r>
          </w:p>
        </w:tc>
        <w:tc>
          <w:tcPr>
            <w:tcW w:w="1321" w:type="dxa"/>
          </w:tcPr>
          <w:p w14:paraId="76503E78" w14:textId="16C53D9F" w:rsidR="00956C1D" w:rsidRPr="00C126D0" w:rsidRDefault="00956C1D" w:rsidP="00630B13">
            <w:pPr>
              <w:spacing w:after="0"/>
              <w:rPr>
                <w:rFonts w:cstheme="minorHAnsi"/>
                <w:sz w:val="20"/>
                <w:szCs w:val="20"/>
              </w:rPr>
            </w:pPr>
            <w:r w:rsidRPr="00C126D0">
              <w:rPr>
                <w:rFonts w:cstheme="minorHAnsi"/>
                <w:sz w:val="20"/>
                <w:szCs w:val="20"/>
              </w:rPr>
              <w:t xml:space="preserve">Gotham </w:t>
            </w:r>
            <w:r>
              <w:rPr>
                <w:rFonts w:cstheme="minorHAnsi"/>
                <w:sz w:val="20"/>
                <w:szCs w:val="20"/>
              </w:rPr>
              <w:t>and</w:t>
            </w:r>
            <w:r w:rsidRPr="00C126D0">
              <w:rPr>
                <w:rFonts w:cstheme="minorHAnsi"/>
                <w:sz w:val="20"/>
                <w:szCs w:val="20"/>
              </w:rPr>
              <w:t xml:space="preserve"> Powers </w:t>
            </w:r>
            <w:r w:rsidRPr="00C126D0">
              <w:rPr>
                <w:rFonts w:cstheme="minorHAnsi"/>
                <w:sz w:val="20"/>
                <w:szCs w:val="20"/>
              </w:rPr>
              <w:fldChar w:fldCharType="begin" w:fldLock="1"/>
            </w:r>
            <w:r w:rsidRPr="00C126D0">
              <w:rPr>
                <w:rFonts w:cstheme="minorHAnsi"/>
                <w:sz w:val="20"/>
                <w:szCs w:val="20"/>
              </w:rPr>
              <w:instrText>ADDIN CSL_CITATION {"citationItems":[{"id":"ITEM-1","itemData":{"DOI":"10.1177/0094306114562201a","ISBN":"9780226012872","ISSN":"0094-3061","abstract":"Each year, natural disasters threaten the strength and stability of communities worldwide. Yet responses to the challenges of recovery vary greatly and in ways that aren’t explained by the magnitude of the catastrophe or the amount of aid provided by national governments or the international community. The difference between resilience and disrepair, as Daniel P. Aldrich shows, lies in the depth of communities’ social capital. Building Resilience highlights the critical role of social capital in the ability of a community to withstand disaster and rebuild both the infrastructure and the ties that are at the foundation of any community. Aldrich examines the post-disaster responses of four distinct communities—Tokyo following the 1923 earthquake, Kobe after the 1995 earthquake, Tamil Nadu after the 2004 Indian Ocean Tsunami, and New Orleans post-Katrina—and finds that those with robust social networks were better able to coordinate recovery. In addition to quickly disseminating information and financial and physical assistance, communities with an abundance of social capital were able to minimize the migration of people and valuable resources out of the area. With governments increasingly overstretched and natural disasters likely to increase in frequency and intensity, a thorough understanding of what contributes to efficient reconstruction is more important than ever. Building Resilience underscores a critical component of an effective response.","author":[{"dropping-particle":"","family":"Gotham","given":"Kevin Fox","non-dropping-particle":"","parse-names":false,"suffix":""},{"dropping-particle":"","family":"Powers","given":"Bradford","non-dropping-particle":"","parse-names":false,"suffix":""}],"container-title":"Contemporary Sociology: A Journal of Reviews","id":"ITEM-1","issue":"1","issued":{"date-parts":[["2015"]]},"page":"30-31","title":"Building Resilience: Social Capital in Post-Disaster Recovery","type":"article-journal","volume":"44"},"uris":["http://www.mendeley.com/documents/?uuid=58f6cd2e-1d31-4b39-b40e-2d99734b8c6e"]}],"mendeley":{"formattedCitation":"[28]","plainTextFormattedCitation":"[28]","previouslyFormattedCitation":"[28]"},"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[28]</w:t>
            </w:r>
            <w:r w:rsidRPr="00C126D0">
              <w:rPr>
                <w:rFonts w:cstheme="minorHAnsi"/>
                <w:sz w:val="20"/>
                <w:szCs w:val="20"/>
              </w:rPr>
              <w:fldChar w:fldCharType="end"/>
            </w:r>
          </w:p>
        </w:tc>
        <w:tc>
          <w:tcPr>
            <w:tcW w:w="2009" w:type="dxa"/>
          </w:tcPr>
          <w:p w14:paraId="748C143C" w14:textId="74F4EC0B" w:rsidR="00956C1D" w:rsidRPr="00C126D0" w:rsidRDefault="0071564B" w:rsidP="00630B13">
            <w:pPr>
              <w:spacing w:after="0"/>
              <w:rPr>
                <w:rFonts w:cstheme="minorHAnsi"/>
                <w:sz w:val="20"/>
                <w:szCs w:val="20"/>
              </w:rPr>
            </w:pPr>
            <w:r w:rsidRPr="0071564B">
              <w:rPr>
                <w:rFonts w:cstheme="minorHAnsi"/>
                <w:sz w:val="20"/>
                <w:szCs w:val="20"/>
              </w:rPr>
              <w:t>Analyze the significance of social capital in the process of recovering from a disaster.</w:t>
            </w:r>
          </w:p>
        </w:tc>
        <w:tc>
          <w:tcPr>
            <w:tcW w:w="1373" w:type="dxa"/>
          </w:tcPr>
          <w:p w14:paraId="3CF13184" w14:textId="76CAC7D1" w:rsidR="00956C1D" w:rsidRPr="00C126D0" w:rsidRDefault="00956C1D" w:rsidP="00630B13">
            <w:pPr>
              <w:spacing w:after="0"/>
              <w:rPr>
                <w:rFonts w:cstheme="minorHAnsi"/>
                <w:sz w:val="20"/>
                <w:szCs w:val="20"/>
              </w:rPr>
            </w:pPr>
            <w:r w:rsidRPr="00C126D0">
              <w:rPr>
                <w:rFonts w:cstheme="minorHAnsi"/>
                <w:sz w:val="20"/>
                <w:szCs w:val="20"/>
              </w:rPr>
              <w:t>Case studies</w:t>
            </w:r>
          </w:p>
        </w:tc>
        <w:tc>
          <w:tcPr>
            <w:tcW w:w="2408" w:type="dxa"/>
          </w:tcPr>
          <w:p w14:paraId="0C056834" w14:textId="010D46B4" w:rsidR="00956C1D" w:rsidRPr="00C126D0" w:rsidRDefault="0071564B" w:rsidP="00630B13">
            <w:pPr>
              <w:spacing w:after="0"/>
              <w:rPr>
                <w:rFonts w:cstheme="minorHAnsi"/>
                <w:sz w:val="20"/>
                <w:szCs w:val="20"/>
              </w:rPr>
            </w:pPr>
            <w:r w:rsidRPr="0071564B">
              <w:rPr>
                <w:rFonts w:cstheme="minorHAnsi"/>
                <w:sz w:val="20"/>
                <w:szCs w:val="20"/>
              </w:rPr>
              <w:t>Communities that possessed resilient social networks demonstrated enhanced capacity to coordinate their recovery endeavors.</w:t>
            </w:r>
          </w:p>
        </w:tc>
        <w:tc>
          <w:tcPr>
            <w:tcW w:w="2340" w:type="dxa"/>
          </w:tcPr>
          <w:p w14:paraId="467B3ECC" w14:textId="6177423F" w:rsidR="00956C1D" w:rsidRPr="00C126D0" w:rsidRDefault="00956C1D" w:rsidP="00630B13">
            <w:pPr>
              <w:spacing w:after="0"/>
              <w:rPr>
                <w:rFonts w:cstheme="minorHAnsi"/>
                <w:sz w:val="20"/>
                <w:szCs w:val="20"/>
              </w:rPr>
            </w:pPr>
            <w:r w:rsidRPr="00C126D0">
              <w:rPr>
                <w:rFonts w:cstheme="minorHAnsi"/>
                <w:sz w:val="20"/>
                <w:szCs w:val="20"/>
              </w:rPr>
              <w:t xml:space="preserve">Emphasizes the importance of social capital in disaster </w:t>
            </w:r>
            <w:r w:rsidR="0071564B">
              <w:rPr>
                <w:rFonts w:cstheme="minorHAnsi"/>
                <w:sz w:val="20"/>
                <w:szCs w:val="20"/>
              </w:rPr>
              <w:t>management</w:t>
            </w:r>
            <w:r w:rsidRPr="00C126D0">
              <w:rPr>
                <w:rFonts w:cstheme="minorHAnsi"/>
                <w:sz w:val="20"/>
                <w:szCs w:val="20"/>
              </w:rPr>
              <w:t xml:space="preserve"> and provides insights for disaster management.</w:t>
            </w:r>
          </w:p>
        </w:tc>
      </w:tr>
      <w:tr w:rsidR="00956C1D" w:rsidRPr="00C126D0" w14:paraId="6E0B3B84" w14:textId="77777777" w:rsidTr="00956C1D">
        <w:trPr>
          <w:trHeight w:val="56"/>
        </w:trPr>
        <w:tc>
          <w:tcPr>
            <w:tcW w:w="534" w:type="dxa"/>
          </w:tcPr>
          <w:p w14:paraId="6E7EB558" w14:textId="2F40075E" w:rsidR="00956C1D" w:rsidRPr="00C126D0" w:rsidRDefault="00956C1D" w:rsidP="00630B13">
            <w:pPr>
              <w:spacing w:after="0"/>
              <w:rPr>
                <w:rFonts w:cstheme="minorHAnsi"/>
                <w:sz w:val="20"/>
                <w:szCs w:val="20"/>
              </w:rPr>
            </w:pPr>
            <w:r w:rsidRPr="00C126D0">
              <w:rPr>
                <w:rFonts w:cstheme="minorHAnsi"/>
                <w:color w:val="000000"/>
                <w:sz w:val="20"/>
                <w:szCs w:val="20"/>
              </w:rPr>
              <w:t>29</w:t>
            </w:r>
          </w:p>
        </w:tc>
        <w:tc>
          <w:tcPr>
            <w:tcW w:w="1321" w:type="dxa"/>
          </w:tcPr>
          <w:p w14:paraId="36CB1171" w14:textId="2E5F0808" w:rsidR="00956C1D" w:rsidRPr="00C126D0" w:rsidRDefault="00956C1D" w:rsidP="00630B13">
            <w:pPr>
              <w:spacing w:after="0"/>
              <w:rPr>
                <w:rFonts w:cstheme="minorHAnsi"/>
                <w:sz w:val="20"/>
                <w:szCs w:val="20"/>
              </w:rPr>
            </w:pPr>
            <w:proofErr w:type="spellStart"/>
            <w:r w:rsidRPr="00C126D0">
              <w:rPr>
                <w:rFonts w:cstheme="minorHAnsi"/>
                <w:sz w:val="20"/>
                <w:szCs w:val="20"/>
              </w:rPr>
              <w:t>Amirzadeh</w:t>
            </w:r>
            <w:proofErr w:type="spellEnd"/>
            <w:r w:rsidRPr="00C126D0">
              <w:rPr>
                <w:rFonts w:cstheme="minorHAnsi"/>
                <w:sz w:val="20"/>
                <w:szCs w:val="20"/>
              </w:rPr>
              <w:t xml:space="preserve"> </w:t>
            </w:r>
            <w:r>
              <w:rPr>
                <w:rFonts w:cstheme="minorHAnsi"/>
                <w:sz w:val="20"/>
                <w:szCs w:val="20"/>
              </w:rPr>
              <w:t>and</w:t>
            </w:r>
            <w:r w:rsidRPr="00C126D0">
              <w:rPr>
                <w:rFonts w:cstheme="minorHAnsi"/>
                <w:sz w:val="20"/>
                <w:szCs w:val="20"/>
              </w:rPr>
              <w:t xml:space="preserve"> </w:t>
            </w:r>
            <w:proofErr w:type="spellStart"/>
            <w:r w:rsidRPr="00C126D0">
              <w:rPr>
                <w:rFonts w:cstheme="minorHAnsi"/>
                <w:sz w:val="20"/>
                <w:szCs w:val="20"/>
              </w:rPr>
              <w:t>Barakpour</w:t>
            </w:r>
            <w:proofErr w:type="spellEnd"/>
            <w:r w:rsidRPr="00C126D0">
              <w:rPr>
                <w:rFonts w:cstheme="minorHAnsi"/>
                <w:sz w:val="20"/>
                <w:szCs w:val="20"/>
              </w:rPr>
              <w:t xml:space="preserve">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{"citationItems":[{"id":"ITEM-1","itemData":{"DOI":"10.1016/j.ijdrr.2021.102599","ISSN":"22124209","abstract":"Over the recent years, community resilience has been the center of attention in many theoretical approaches and policies against hazards and creeping environmental changes. However, the issue of how to achieve resilient communities has received less attention. The present study aims to develop a framework for devising strategies in order to improve community resilience, particularly to slow-onset hazards such as drought. Hence, the relevant literature was reviewed in order to establish a conceptual framework. Afterwards, the researchers investigated the framework in the context of two local communities (Barazandeh and Abbas Abad neighborhood) in Iran, i.e., Isfahan, against drought as well as drying up of Zayandehrood River and its aqueducts using a qualitative research design and retroductive strategy. For data gathering, semi-structured in-depth interviews were used and data analysis was performed through qualitative content analysis using ATLAS-ti software. Totally, 32 interviews with authorities, experts, researchers, and other stakeholders were conducted in two local communities of Isfahan. Findings indicated that any policy making regarding community resilience should not be restricted to local community level and should be expanded to multiple scales of local, regional, urban, and national community levels, even considering the two major disaster risk reduction (DRR) and climate change adaptation (CCA) categories.","author":[{"dropping-particle":"","family":"Amirzadeh","given":"Melika","non-dropping-particle":"","parse-names":false,"suffix":""},{"dropping-particle":"","family":"Barakpour","given":"Naser","non-dropping-particle":"","parse-names":false,"suffix":""}],"container-title":"International Journal of Disaster Risk Reduction","id":"ITEM-1","issue":"56","issued":{"date-parts":[["2021"]]},"page":"102599","publisher":"Elsevier Ltd","title":"Strategies for building community resilience against slow-onset hazards","type":"article-journal","volume":"66"},"uris":["http://www.mendeley.com/documents/?uuid=d220f8b6-de56-4c9e-bd7b-98cc67d2572c"]}],"mendeley":{"formattedCitation":"[29]","plainTextFormattedCitation":"[29]","previouslyFormattedCitation":"[29]"},"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[29]</w:t>
            </w:r>
            <w:r w:rsidRPr="00C126D0">
              <w:rPr>
                <w:rFonts w:cstheme="minorHAnsi"/>
                <w:sz w:val="20"/>
                <w:szCs w:val="20"/>
              </w:rPr>
              <w:fldChar w:fldCharType="end"/>
            </w:r>
          </w:p>
        </w:tc>
        <w:tc>
          <w:tcPr>
            <w:tcW w:w="2009" w:type="dxa"/>
          </w:tcPr>
          <w:p w14:paraId="7D2A45FA" w14:textId="55C35750" w:rsidR="00956C1D" w:rsidRPr="00C126D0" w:rsidRDefault="00AC32F2" w:rsidP="00630B13">
            <w:pPr>
              <w:spacing w:after="0"/>
              <w:rPr>
                <w:rFonts w:cstheme="minorHAnsi"/>
                <w:sz w:val="20"/>
                <w:szCs w:val="20"/>
              </w:rPr>
            </w:pPr>
            <w:r w:rsidRPr="00AC32F2">
              <w:rPr>
                <w:rFonts w:cstheme="minorHAnsi"/>
                <w:sz w:val="20"/>
                <w:szCs w:val="20"/>
              </w:rPr>
              <w:t>Construct approaches to enhance the resilience of communities in the face of gradual dangers.</w:t>
            </w:r>
          </w:p>
        </w:tc>
        <w:tc>
          <w:tcPr>
            <w:tcW w:w="1373" w:type="dxa"/>
          </w:tcPr>
          <w:p w14:paraId="59CB791C" w14:textId="7F6CA393" w:rsidR="00956C1D" w:rsidRPr="00C126D0" w:rsidRDefault="00956C1D" w:rsidP="00630B13">
            <w:pPr>
              <w:spacing w:after="0"/>
              <w:rPr>
                <w:rFonts w:cstheme="minorHAnsi"/>
                <w:sz w:val="20"/>
                <w:szCs w:val="20"/>
              </w:rPr>
            </w:pPr>
            <w:r w:rsidRPr="00C126D0">
              <w:rPr>
                <w:rFonts w:cstheme="minorHAnsi"/>
                <w:sz w:val="20"/>
                <w:szCs w:val="20"/>
              </w:rPr>
              <w:t>Literature review and case study</w:t>
            </w:r>
          </w:p>
        </w:tc>
        <w:tc>
          <w:tcPr>
            <w:tcW w:w="2408" w:type="dxa"/>
          </w:tcPr>
          <w:p w14:paraId="6DF21996" w14:textId="05CC2E46" w:rsidR="00956C1D" w:rsidRPr="00C126D0" w:rsidRDefault="00956C1D" w:rsidP="00630B13">
            <w:pPr>
              <w:spacing w:after="0"/>
              <w:rPr>
                <w:rFonts w:cstheme="minorHAnsi"/>
                <w:sz w:val="20"/>
                <w:szCs w:val="20"/>
              </w:rPr>
            </w:pPr>
            <w:r w:rsidRPr="00C126D0">
              <w:rPr>
                <w:rFonts w:cstheme="minorHAnsi"/>
                <w:sz w:val="20"/>
                <w:szCs w:val="20"/>
              </w:rPr>
              <w:t>Emphasizes the importance of multi-scale approaches to resilience.</w:t>
            </w:r>
          </w:p>
        </w:tc>
        <w:tc>
          <w:tcPr>
            <w:tcW w:w="2340" w:type="dxa"/>
          </w:tcPr>
          <w:p w14:paraId="7BCC7757" w14:textId="161302FF" w:rsidR="00956C1D" w:rsidRPr="00C126D0" w:rsidRDefault="00AC32F2" w:rsidP="00630B13">
            <w:pPr>
              <w:spacing w:after="0"/>
              <w:rPr>
                <w:rFonts w:cstheme="minorHAnsi"/>
                <w:sz w:val="20"/>
                <w:szCs w:val="20"/>
              </w:rPr>
            </w:pPr>
            <w:r w:rsidRPr="00AC32F2">
              <w:rPr>
                <w:rFonts w:cstheme="minorHAnsi"/>
                <w:sz w:val="20"/>
                <w:szCs w:val="20"/>
              </w:rPr>
              <w:t>Integrated strategies for climate change adaptation and disaster risk reduction are required.</w:t>
            </w:r>
          </w:p>
        </w:tc>
      </w:tr>
      <w:tr w:rsidR="00956C1D" w:rsidRPr="00C126D0" w14:paraId="34C524FC" w14:textId="77777777" w:rsidTr="00956C1D">
        <w:trPr>
          <w:trHeight w:val="56"/>
        </w:trPr>
        <w:tc>
          <w:tcPr>
            <w:tcW w:w="534" w:type="dxa"/>
          </w:tcPr>
          <w:p w14:paraId="2AA6A6D8" w14:textId="466761A9" w:rsidR="00956C1D" w:rsidRPr="00C126D0" w:rsidRDefault="00956C1D" w:rsidP="00630B13">
            <w:pPr>
              <w:spacing w:after="0"/>
              <w:rPr>
                <w:rFonts w:cstheme="minorHAnsi"/>
                <w:sz w:val="20"/>
                <w:szCs w:val="20"/>
              </w:rPr>
            </w:pPr>
            <w:r w:rsidRPr="00C126D0">
              <w:rPr>
                <w:rFonts w:cstheme="minorHAnsi"/>
                <w:color w:val="000000"/>
                <w:sz w:val="20"/>
                <w:szCs w:val="20"/>
              </w:rPr>
              <w:t>30</w:t>
            </w:r>
          </w:p>
        </w:tc>
        <w:tc>
          <w:tcPr>
            <w:tcW w:w="1321" w:type="dxa"/>
          </w:tcPr>
          <w:p w14:paraId="517BF3FB" w14:textId="5A059825" w:rsidR="00956C1D" w:rsidRPr="00C126D0" w:rsidRDefault="00956C1D" w:rsidP="00630B13">
            <w:pPr>
              <w:spacing w:after="0"/>
              <w:rPr>
                <w:rFonts w:cstheme="minorHAnsi"/>
                <w:sz w:val="20"/>
                <w:szCs w:val="20"/>
              </w:rPr>
            </w:pPr>
            <w:proofErr w:type="spellStart"/>
            <w:r w:rsidRPr="00C126D0">
              <w:rPr>
                <w:rFonts w:cstheme="minorHAnsi"/>
                <w:sz w:val="20"/>
                <w:szCs w:val="20"/>
              </w:rPr>
              <w:t>Bhagavathula</w:t>
            </w:r>
            <w:proofErr w:type="spellEnd"/>
            <w:r>
              <w:rPr>
                <w:rFonts w:cstheme="minorHAnsi"/>
                <w:sz w:val="20"/>
                <w:szCs w:val="20"/>
              </w:rPr>
              <w:t xml:space="preserve"> </w:t>
            </w:r>
            <w:r w:rsidRPr="00C126D0">
              <w:rPr>
                <w:rFonts w:cstheme="minorHAnsi"/>
                <w:sz w:val="20"/>
                <w:szCs w:val="20"/>
              </w:rPr>
              <w:t xml:space="preserve">et al.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{"citationItems":[{"id":"ITEM-1","itemData":{"DOI":"10.1016/j.ijdrr.2021.102408","ISSN":"22124209","abstract":"Cities are challenged by climate change, natural and technological disasters and related injustices. At least three fields address these challenges within cities: sustainability, emergency management and resilience. However, these three fields often still work in silos, separated by administrative structures. One way to promote a synergistic and integrative city-level approach across the three fields is through actively fostering collaboration. This can be facilitated through a competency-based capacity building program. So far, only few capacity building programs attempted to foster collaboration across departments and fields. To address this gap the researchers collaborated with the City of Tempe, Arizona, USA to implement a program that addresses the respective sets of competencies and concepts in these fields. The question was asked how these competency sets and concepts can be integrated into one capacity building program to support collaboration across departments. The focus was on emergency management and sustainability competencies respectively, as a literature review revealed paucity of a resilience competency framework. Three capacity building trainings were implemented and competency development was evaluated using a pre-post survey and analysis of training interactions. The results show that: i) overall collaboration across departments was facilitated; ii) participants demonstrated sustainability and emergency management competencies in at least one of the three trainings, iii) participants were satisfied with the trainings individually and combined into one training program. The work concludes with recommendations to increase the development of collaborative competencies and to foster collaboration in practice in the long-term as part of “institutional work” in order to influence administrative structures as well.","author":[{"dropping-particle":"","family":"Bhagavathula","given":"Susila","non-dropping-particle":"","parse-names":false,"suffix":""},{"dropping-particle":"","family":"Brundiers","given":"Katja","non-dropping-particle":"","parse-names":false,"suffix":""},{"dropping-particle":"","family":"Stauffacher","given":"Michael","non-dropping-particle":"","parse-names":false,"suffix":""},{"dropping-particle":"","family":"Kay","given":"Braden","non-dropping-particle":"","parse-names":false,"suffix":""}],"container-title":"International Journal of Disaster Risk Reduction","id":"ITEM-1","issued":{"date-parts":[["2021","9"]]},"page":"102408","publisher":"Elsevier Ltd","title":"Fostering collaboration in city governments’ sustainability, emergency management and resilience work through competency-based capacity building","type":"article-journal","volume":"63"},"uris":["http://www.mendeley.com/documents/?uuid=677b6ffc-0307-4d9e-af10-d0ad066f7613"]}],"mendeley":{"formattedCitation":"[30]","plainTextFormattedCitation":"[30]","previouslyFormattedCitation":"[30]"},"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[30]</w:t>
            </w:r>
            <w:r w:rsidRPr="00C126D0">
              <w:rPr>
                <w:rFonts w:cstheme="minorHAnsi"/>
                <w:sz w:val="20"/>
                <w:szCs w:val="20"/>
              </w:rPr>
              <w:fldChar w:fldCharType="end"/>
            </w:r>
          </w:p>
        </w:tc>
        <w:tc>
          <w:tcPr>
            <w:tcW w:w="2009" w:type="dxa"/>
          </w:tcPr>
          <w:p w14:paraId="469A1D43" w14:textId="1078B202" w:rsidR="00956C1D" w:rsidRPr="00C126D0" w:rsidRDefault="00956C1D" w:rsidP="00630B13">
            <w:pPr>
              <w:spacing w:after="0"/>
              <w:rPr>
                <w:rFonts w:cstheme="minorHAnsi"/>
                <w:sz w:val="20"/>
                <w:szCs w:val="20"/>
              </w:rPr>
            </w:pPr>
            <w:r w:rsidRPr="00C126D0">
              <w:rPr>
                <w:rFonts w:cstheme="minorHAnsi"/>
                <w:sz w:val="20"/>
                <w:szCs w:val="20"/>
              </w:rPr>
              <w:t>Foster collaboration in city governments through capacity building.</w:t>
            </w:r>
          </w:p>
        </w:tc>
        <w:tc>
          <w:tcPr>
            <w:tcW w:w="1373" w:type="dxa"/>
          </w:tcPr>
          <w:p w14:paraId="21616A09" w14:textId="0151B344" w:rsidR="00956C1D" w:rsidRPr="00C126D0" w:rsidRDefault="00956C1D" w:rsidP="00630B13">
            <w:pPr>
              <w:spacing w:after="0"/>
              <w:rPr>
                <w:rFonts w:cstheme="minorHAnsi"/>
                <w:sz w:val="20"/>
                <w:szCs w:val="20"/>
              </w:rPr>
            </w:pPr>
            <w:r w:rsidRPr="00C126D0">
              <w:rPr>
                <w:rFonts w:cstheme="minorHAnsi"/>
                <w:sz w:val="20"/>
                <w:szCs w:val="20"/>
              </w:rPr>
              <w:t>Training and competency evaluation</w:t>
            </w:r>
          </w:p>
        </w:tc>
        <w:tc>
          <w:tcPr>
            <w:tcW w:w="2408" w:type="dxa"/>
          </w:tcPr>
          <w:p w14:paraId="312D94D1" w14:textId="3656F56D" w:rsidR="00956C1D" w:rsidRPr="00C126D0" w:rsidRDefault="00956C1D" w:rsidP="00630B13">
            <w:pPr>
              <w:spacing w:after="0"/>
              <w:rPr>
                <w:rFonts w:cstheme="minorHAnsi"/>
                <w:sz w:val="20"/>
                <w:szCs w:val="20"/>
              </w:rPr>
            </w:pPr>
            <w:r w:rsidRPr="00C126D0">
              <w:rPr>
                <w:rFonts w:cstheme="minorHAnsi"/>
                <w:sz w:val="20"/>
                <w:szCs w:val="20"/>
              </w:rPr>
              <w:t>Demonstrates the effectiveness of competency-based training in fostering collaboration.</w:t>
            </w:r>
          </w:p>
        </w:tc>
        <w:tc>
          <w:tcPr>
            <w:tcW w:w="2340" w:type="dxa"/>
          </w:tcPr>
          <w:p w14:paraId="3CB2DC95" w14:textId="41122BB3" w:rsidR="00956C1D" w:rsidRPr="00C126D0" w:rsidRDefault="00956C1D" w:rsidP="00630B13">
            <w:pPr>
              <w:spacing w:after="0"/>
              <w:rPr>
                <w:rFonts w:cstheme="minorHAnsi"/>
                <w:sz w:val="20"/>
                <w:szCs w:val="20"/>
              </w:rPr>
            </w:pPr>
            <w:r w:rsidRPr="00C126D0">
              <w:rPr>
                <w:rFonts w:cstheme="minorHAnsi"/>
                <w:sz w:val="20"/>
                <w:szCs w:val="20"/>
              </w:rPr>
              <w:t>Recommends long-term strategies to influence administrative structures.</w:t>
            </w:r>
          </w:p>
        </w:tc>
      </w:tr>
      <w:tr w:rsidR="00956C1D" w:rsidRPr="00C126D0" w14:paraId="757C3DDC" w14:textId="77777777" w:rsidTr="00956C1D">
        <w:trPr>
          <w:trHeight w:val="56"/>
        </w:trPr>
        <w:tc>
          <w:tcPr>
            <w:tcW w:w="534" w:type="dxa"/>
          </w:tcPr>
          <w:p w14:paraId="0B3D2FED" w14:textId="071A794C" w:rsidR="00956C1D" w:rsidRPr="00C126D0" w:rsidRDefault="00956C1D" w:rsidP="00630B13">
            <w:pPr>
              <w:spacing w:after="0"/>
              <w:rPr>
                <w:rFonts w:cstheme="minorHAnsi"/>
                <w:sz w:val="20"/>
                <w:szCs w:val="20"/>
              </w:rPr>
            </w:pPr>
            <w:r w:rsidRPr="00C126D0">
              <w:rPr>
                <w:rFonts w:cstheme="minorHAnsi"/>
                <w:color w:val="000000"/>
                <w:sz w:val="20"/>
                <w:szCs w:val="20"/>
              </w:rPr>
              <w:t>31</w:t>
            </w:r>
          </w:p>
        </w:tc>
        <w:tc>
          <w:tcPr>
            <w:tcW w:w="1321" w:type="dxa"/>
          </w:tcPr>
          <w:p w14:paraId="4F1F2272" w14:textId="16FE2C29" w:rsidR="00956C1D" w:rsidRPr="00C126D0" w:rsidRDefault="00956C1D" w:rsidP="00630B13">
            <w:pPr>
              <w:spacing w:after="0"/>
              <w:rPr>
                <w:rFonts w:cstheme="minorHAnsi"/>
                <w:sz w:val="20"/>
                <w:szCs w:val="20"/>
              </w:rPr>
            </w:pPr>
            <w:r w:rsidRPr="00C126D0">
              <w:rPr>
                <w:rFonts w:cstheme="minorHAnsi"/>
                <w:sz w:val="20"/>
                <w:szCs w:val="20"/>
              </w:rPr>
              <w:t>Pretty</w:t>
            </w:r>
            <w:r w:rsidRPr="00C126D0">
              <w:rPr>
                <w:rFonts w:cstheme="minorHAnsi"/>
                <w:sz w:val="20"/>
                <w:szCs w:val="20"/>
              </w:rPr>
              <w:t xml:space="preserve"> </w:t>
            </w:r>
            <w:r w:rsidRPr="00C126D0">
              <w:rPr>
                <w:rFonts w:cstheme="minorHAnsi"/>
                <w:sz w:val="20"/>
                <w:szCs w:val="20"/>
              </w:rPr>
              <w:fldChar w:fldCharType="begin" w:fldLock="1"/>
            </w:r>
            <w:r w:rsidRPr="00C126D0">
              <w:rPr>
                <w:rFonts w:cstheme="minorHAnsi"/>
                <w:sz w:val="20"/>
                <w:szCs w:val="20"/>
              </w:rPr>
              <w:instrText>ADDIN CSL_CITATION {"citationItems":[{"id":"ITEM-1","itemData":{"DOI":"10.1126/science.1090847","ISSN":"00368075","PMID":"14671287","abstract":"The proposition that natural resources need protection from the destructive actions of people is widely accepted. Yet communities have shown in the past and increasingly today that they can collaborate for long-term resource management. The term social capital captures the idea that social bonds and norms are critical for sustainability. Where social capital is high in formalized groups, people have the confidence to invest in collective activities, knowing that others will do so too. Some 0.4 to 0.5 million groups have been established since the early 1990s for watershed, forest, irrigation, pest, wildlife, fishery, and microfinance management. These offer a route to sustainable management and governance of common resources.","author":[{"dropping-particle":"","family":"Pretty","given":"Jules","non-dropping-particle":"","parse-names":false,"suffix":""}],"container-title":"Science","id":"ITEM-1","issue":"5652","issued":{"date-parts":[["2003"]]},"page":"1912-1914","title":"Social Capital and the Collective Management of Resources","type":"article-journal","volume":"302"},"uris":["http://www.mendeley.com/documents/?uuid=d3cd8be4-89bb-4dcc-b45a-e0c0cc063220"]}],"mendeley":{"formattedCitation":"[31]","plainTextFormattedCitation":"[31]","previouslyFormattedCitation":"[31]"},"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[31]</w:t>
            </w:r>
            <w:r w:rsidRPr="00C126D0">
              <w:rPr>
                <w:rFonts w:cstheme="minorHAnsi"/>
                <w:sz w:val="20"/>
                <w:szCs w:val="20"/>
              </w:rPr>
              <w:fldChar w:fldCharType="end"/>
            </w:r>
          </w:p>
        </w:tc>
        <w:tc>
          <w:tcPr>
            <w:tcW w:w="2009" w:type="dxa"/>
          </w:tcPr>
          <w:p w14:paraId="60A5ACA7" w14:textId="7BCBFE94" w:rsidR="00956C1D" w:rsidRPr="00C126D0" w:rsidRDefault="001630D5" w:rsidP="00630B13">
            <w:pPr>
              <w:spacing w:after="0"/>
              <w:rPr>
                <w:rFonts w:cstheme="minorHAnsi"/>
                <w:sz w:val="20"/>
                <w:szCs w:val="20"/>
              </w:rPr>
            </w:pPr>
            <w:r w:rsidRPr="001630D5">
              <w:rPr>
                <w:rFonts w:cstheme="minorHAnsi"/>
                <w:sz w:val="20"/>
                <w:szCs w:val="20"/>
              </w:rPr>
              <w:t>In order to investigate the significance of social capital in collective natural resource management</w:t>
            </w:r>
            <w:r>
              <w:rPr>
                <w:rFonts w:cstheme="minorHAnsi"/>
                <w:sz w:val="20"/>
                <w:szCs w:val="20"/>
              </w:rPr>
              <w:t>.</w:t>
            </w:r>
          </w:p>
        </w:tc>
        <w:tc>
          <w:tcPr>
            <w:tcW w:w="1373" w:type="dxa"/>
          </w:tcPr>
          <w:p w14:paraId="4EDD7588" w14:textId="3D33F34D" w:rsidR="00956C1D" w:rsidRPr="00C126D0" w:rsidRDefault="00956C1D" w:rsidP="00630B13">
            <w:pPr>
              <w:spacing w:after="0"/>
              <w:rPr>
                <w:rFonts w:cstheme="minorHAnsi"/>
                <w:sz w:val="20"/>
                <w:szCs w:val="20"/>
              </w:rPr>
            </w:pPr>
            <w:r w:rsidRPr="00C126D0">
              <w:rPr>
                <w:rFonts w:cstheme="minorHAnsi"/>
                <w:sz w:val="20"/>
                <w:szCs w:val="20"/>
              </w:rPr>
              <w:t>Review of community-based groups for resource management</w:t>
            </w:r>
          </w:p>
        </w:tc>
        <w:tc>
          <w:tcPr>
            <w:tcW w:w="2408" w:type="dxa"/>
          </w:tcPr>
          <w:p w14:paraId="20F2CDB5" w14:textId="408A62C3" w:rsidR="00956C1D" w:rsidRPr="00C126D0" w:rsidRDefault="00956C1D" w:rsidP="00630B13">
            <w:pPr>
              <w:spacing w:after="0"/>
              <w:rPr>
                <w:rFonts w:cstheme="minorHAnsi"/>
                <w:sz w:val="20"/>
                <w:szCs w:val="20"/>
              </w:rPr>
            </w:pPr>
            <w:r w:rsidRPr="00C126D0">
              <w:rPr>
                <w:rFonts w:cstheme="minorHAnsi"/>
                <w:sz w:val="20"/>
                <w:szCs w:val="20"/>
              </w:rPr>
              <w:t>Communities can collaborate for long-term resource management through social bonds and norms</w:t>
            </w:r>
            <w:r w:rsidR="001630D5">
              <w:rPr>
                <w:rFonts w:cstheme="minorHAnsi"/>
                <w:sz w:val="20"/>
                <w:szCs w:val="20"/>
              </w:rPr>
              <w:t>.</w:t>
            </w:r>
          </w:p>
        </w:tc>
        <w:tc>
          <w:tcPr>
            <w:tcW w:w="2340" w:type="dxa"/>
          </w:tcPr>
          <w:p w14:paraId="1DCA506E" w14:textId="28542E8B" w:rsidR="00956C1D" w:rsidRPr="00C126D0" w:rsidRDefault="001630D5" w:rsidP="00630B13">
            <w:pPr>
              <w:spacing w:after="0"/>
              <w:rPr>
                <w:rFonts w:cstheme="minorHAnsi"/>
                <w:sz w:val="20"/>
                <w:szCs w:val="20"/>
              </w:rPr>
            </w:pPr>
            <w:r w:rsidRPr="001630D5">
              <w:rPr>
                <w:rFonts w:cstheme="minorHAnsi"/>
                <w:sz w:val="20"/>
                <w:szCs w:val="20"/>
              </w:rPr>
              <w:t>Critical to sustainability and community-based resource management is the significance of social capital, according to the study.</w:t>
            </w:r>
          </w:p>
        </w:tc>
      </w:tr>
      <w:tr w:rsidR="00956C1D" w:rsidRPr="00C126D0" w14:paraId="288ED52A" w14:textId="77777777" w:rsidTr="00956C1D">
        <w:trPr>
          <w:trHeight w:val="56"/>
        </w:trPr>
        <w:tc>
          <w:tcPr>
            <w:tcW w:w="534" w:type="dxa"/>
          </w:tcPr>
          <w:p w14:paraId="325A28EA" w14:textId="1DAC177A" w:rsidR="00956C1D" w:rsidRPr="00C126D0" w:rsidRDefault="00956C1D" w:rsidP="0032728D">
            <w:pPr>
              <w:spacing w:after="0"/>
              <w:rPr>
                <w:rFonts w:cstheme="minorHAnsi"/>
                <w:sz w:val="20"/>
                <w:szCs w:val="20"/>
              </w:rPr>
            </w:pPr>
            <w:r w:rsidRPr="00C126D0">
              <w:rPr>
                <w:rFonts w:cstheme="minorHAnsi"/>
                <w:color w:val="000000"/>
                <w:sz w:val="20"/>
                <w:szCs w:val="20"/>
              </w:rPr>
              <w:t>32</w:t>
            </w:r>
          </w:p>
        </w:tc>
        <w:tc>
          <w:tcPr>
            <w:tcW w:w="1321" w:type="dxa"/>
          </w:tcPr>
          <w:p w14:paraId="0B186F03" w14:textId="45E06A8B" w:rsidR="00956C1D" w:rsidRPr="00C126D0" w:rsidRDefault="00956C1D" w:rsidP="0032728D">
            <w:pPr>
              <w:spacing w:after="0"/>
              <w:rPr>
                <w:rFonts w:cstheme="minorHAnsi"/>
                <w:sz w:val="20"/>
                <w:szCs w:val="20"/>
              </w:rPr>
            </w:pPr>
            <w:r w:rsidRPr="00C126D0">
              <w:rPr>
                <w:rFonts w:cstheme="minorHAnsi"/>
                <w:sz w:val="20"/>
                <w:szCs w:val="20"/>
              </w:rPr>
              <w:t xml:space="preserve">Ching </w:t>
            </w:r>
            <w:r w:rsidRPr="00C126D0">
              <w:rPr>
                <w:rFonts w:eastAsia="Times New Roman" w:cstheme="minorHAnsi"/>
                <w:sz w:val="20"/>
                <w:szCs w:val="20"/>
              </w:rPr>
              <w:t>et al.</w:t>
            </w:r>
            <w:r w:rsidRPr="00C126D0">
              <w:rPr>
                <w:rFonts w:cstheme="minorHAnsi"/>
                <w:sz w:val="20"/>
                <w:szCs w:val="20"/>
              </w:rPr>
              <w:t xml:space="preserve"> </w:t>
            </w:r>
            <w:r w:rsidRPr="00C126D0">
              <w:rPr>
                <w:rFonts w:cstheme="minorHAnsi"/>
                <w:sz w:val="20"/>
                <w:szCs w:val="20"/>
              </w:rPr>
              <w:fldChar w:fldCharType="begin" w:fldLock="1"/>
            </w:r>
            <w:r w:rsidRPr="00C126D0">
              <w:rPr>
                <w:rFonts w:cstheme="minorHAnsi"/>
                <w:sz w:val="20"/>
                <w:szCs w:val="20"/>
              </w:rPr>
              <w:instrText>ADDIN CSL_CITATION {"citationItems":[{"id":"ITEM-1","itemData":{"DOI":"10.1016/j.ijdrr.2020.101546","ISSN":"22124209","abstract":"Our research explores the complexities of experiencing consecutive natural hazards by the residents of Puna, Hawaiʻi, who were significantly impacted by Tropical Storm Iselle and the June 27th lava flow in 2014. The district of Puna suffered heavy damage from Tropical Storm Iselle, a natural hazard of short duration, followed by the June 27th lava flow, a natural hazard of extended duration. Our study used qualitative, open-ended interviews and participant observation to examine the responses of individuals and communities in this low-income, rural area. Themes common to both Tropical Storm Iselle and the June 27th lava flow include the successful dissemination of information by trusted agencies, use of local and indigenous knowledge, and the substantial impact of these occurrences on children.","author":[{"dropping-particle":"","family":"Ching","given":"Alexis","non-dropping-particle":"","parse-names":false,"suffix":""},{"dropping-particle":"","family":"Morrison","given":"Lynn","non-dropping-particle":"","parse-names":false,"suffix":""},{"dropping-particle":"","family":"Kelley","given":"Marina","non-dropping-particle":"","parse-names":false,"suffix":""}],"container-title":"International Journal of Disaster Risk Reduction","id":"ITEM-1","issue":"February","issued":{"date-parts":[["2020"]]},"page":"101546","publisher":"Elsevier Ltd","title":"Living with natural hazards: Tropical storms, lava flows and the resilience of island residents","type":"article-journal","volume":"47"},"uris":["http://www.mendeley.com/documents/?uuid=eec98111-6710-4e33-b000-423933e45c70"]}],"mendeley":{"formattedCitation":"[32]","plainTextFormattedCitation":"[32]","previouslyFormattedCitation":"[32]"},"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[32]</w:t>
            </w:r>
            <w:r w:rsidRPr="00C126D0">
              <w:rPr>
                <w:rFonts w:cstheme="minorHAnsi"/>
                <w:sz w:val="20"/>
                <w:szCs w:val="20"/>
              </w:rPr>
              <w:fldChar w:fldCharType="end"/>
            </w:r>
          </w:p>
        </w:tc>
        <w:tc>
          <w:tcPr>
            <w:tcW w:w="2009" w:type="dxa"/>
          </w:tcPr>
          <w:p w14:paraId="71A458E2" w14:textId="51CAF2A9" w:rsidR="00956C1D" w:rsidRPr="00C126D0" w:rsidRDefault="00E33A3C" w:rsidP="0032728D">
            <w:pPr>
              <w:spacing w:after="0"/>
              <w:rPr>
                <w:rFonts w:cstheme="minorHAnsi"/>
                <w:sz w:val="20"/>
                <w:szCs w:val="20"/>
              </w:rPr>
            </w:pPr>
            <w:r w:rsidRPr="00E33A3C">
              <w:rPr>
                <w:rFonts w:cstheme="minorHAnsi"/>
                <w:sz w:val="20"/>
                <w:szCs w:val="20"/>
              </w:rPr>
              <w:t>In order to investigate the intricacies that Puna, Hawaii residents encounter when consecutive natural disasters strike.</w:t>
            </w:r>
          </w:p>
        </w:tc>
        <w:tc>
          <w:tcPr>
            <w:tcW w:w="1373" w:type="dxa"/>
          </w:tcPr>
          <w:p w14:paraId="48F2C49F" w14:textId="23E67641" w:rsidR="00956C1D" w:rsidRPr="00C126D0" w:rsidRDefault="00956C1D" w:rsidP="0032728D">
            <w:pPr>
              <w:spacing w:after="0"/>
              <w:rPr>
                <w:rFonts w:cstheme="minorHAnsi"/>
                <w:sz w:val="20"/>
                <w:szCs w:val="20"/>
              </w:rPr>
            </w:pPr>
            <w:r w:rsidRPr="00C126D0">
              <w:rPr>
                <w:rFonts w:cstheme="minorHAnsi"/>
                <w:sz w:val="20"/>
                <w:szCs w:val="20"/>
              </w:rPr>
              <w:t>Qualitative interviews and participant observation</w:t>
            </w:r>
          </w:p>
        </w:tc>
        <w:tc>
          <w:tcPr>
            <w:tcW w:w="2408" w:type="dxa"/>
          </w:tcPr>
          <w:p w14:paraId="246DDE9B" w14:textId="0458788D" w:rsidR="00956C1D" w:rsidRPr="00C126D0" w:rsidRDefault="00E33A3C" w:rsidP="0032728D">
            <w:pPr>
              <w:spacing w:after="0"/>
              <w:rPr>
                <w:rFonts w:cstheme="minorHAnsi"/>
                <w:sz w:val="20"/>
                <w:szCs w:val="20"/>
              </w:rPr>
            </w:pPr>
            <w:r w:rsidRPr="00E33A3C">
              <w:rPr>
                <w:rFonts w:cstheme="minorHAnsi"/>
                <w:sz w:val="20"/>
                <w:szCs w:val="20"/>
              </w:rPr>
              <w:t>Themes such as effective information dissemination, application of local and indigenous knowledge, and significant influence on children recurred frequently.</w:t>
            </w:r>
          </w:p>
        </w:tc>
        <w:tc>
          <w:tcPr>
            <w:tcW w:w="2340" w:type="dxa"/>
          </w:tcPr>
          <w:p w14:paraId="2601A7CB" w14:textId="6A1B37EC" w:rsidR="00956C1D" w:rsidRPr="00C126D0" w:rsidRDefault="00E33A3C" w:rsidP="0032728D">
            <w:pPr>
              <w:spacing w:after="0"/>
              <w:rPr>
                <w:rFonts w:cstheme="minorHAnsi"/>
                <w:sz w:val="20"/>
                <w:szCs w:val="20"/>
              </w:rPr>
            </w:pPr>
            <w:r w:rsidRPr="00E33A3C">
              <w:rPr>
                <w:rFonts w:cstheme="minorHAnsi"/>
                <w:sz w:val="20"/>
                <w:szCs w:val="20"/>
              </w:rPr>
              <w:t>Insights into the reactions of communities and individuals to natural hazards are provided by the study.</w:t>
            </w:r>
          </w:p>
        </w:tc>
      </w:tr>
      <w:tr w:rsidR="00956C1D" w:rsidRPr="00C126D0" w14:paraId="2D9A8C16" w14:textId="77777777" w:rsidTr="005E5788">
        <w:trPr>
          <w:trHeight w:val="1043"/>
        </w:trPr>
        <w:tc>
          <w:tcPr>
            <w:tcW w:w="534" w:type="dxa"/>
          </w:tcPr>
          <w:p w14:paraId="05A902C7" w14:textId="6E0D6601" w:rsidR="00956C1D" w:rsidRPr="00C126D0" w:rsidRDefault="00956C1D" w:rsidP="0032728D">
            <w:pPr>
              <w:spacing w:after="0"/>
              <w:rPr>
                <w:rFonts w:cstheme="minorHAnsi"/>
                <w:sz w:val="20"/>
                <w:szCs w:val="20"/>
              </w:rPr>
            </w:pPr>
            <w:r w:rsidRPr="00C126D0">
              <w:rPr>
                <w:rFonts w:cstheme="minorHAnsi"/>
                <w:color w:val="000000"/>
                <w:sz w:val="20"/>
                <w:szCs w:val="20"/>
              </w:rPr>
              <w:t>33</w:t>
            </w:r>
          </w:p>
        </w:tc>
        <w:tc>
          <w:tcPr>
            <w:tcW w:w="1321" w:type="dxa"/>
          </w:tcPr>
          <w:p w14:paraId="51179A56" w14:textId="18670FBA" w:rsidR="00956C1D" w:rsidRPr="00C126D0" w:rsidRDefault="00956C1D" w:rsidP="0032728D">
            <w:pPr>
              <w:spacing w:after="0"/>
              <w:rPr>
                <w:rFonts w:cstheme="minorHAnsi"/>
                <w:sz w:val="20"/>
                <w:szCs w:val="20"/>
              </w:rPr>
            </w:pPr>
            <w:r w:rsidRPr="00C126D0">
              <w:rPr>
                <w:rFonts w:cstheme="minorHAnsi"/>
                <w:sz w:val="20"/>
                <w:szCs w:val="20"/>
              </w:rPr>
              <w:t>Allen</w:t>
            </w:r>
            <w:r>
              <w:rPr>
                <w:rFonts w:cstheme="minorHAnsi"/>
                <w:sz w:val="20"/>
                <w:szCs w:val="20"/>
              </w:rPr>
              <w:t xml:space="preserve"> </w:t>
            </w:r>
            <w:r w:rsidRPr="00C126D0">
              <w:rPr>
                <w:rFonts w:cstheme="minorHAnsi"/>
                <w:sz w:val="20"/>
                <w:szCs w:val="20"/>
              </w:rPr>
              <w:fldChar w:fldCharType="begin" w:fldLock="1"/>
            </w:r>
            <w:r w:rsidRPr="00C126D0">
              <w:rPr>
                <w:rFonts w:cstheme="minorHAnsi"/>
                <w:sz w:val="20"/>
                <w:szCs w:val="20"/>
              </w:rPr>
              <w:instrText>ADDIN CSL_CITATION {"citationItems":[{"id":"ITEM-1","itemData":{"DOI":"10.1111/j.1467-9523.2006.00308.x","ISSN":"03613666","PMID":"16512863","abstract":"Community-based disaster preparedness (CBDP) approaches are increasingly important elements of vulnerability reduction and disaster management strategies. They are associated with a policy trend that values the knowledge and capacities of local people and builds on local resources, including social capital. CBDP may be instrumental not only in formulating local coping and adaptation strategies, but also in situating them within wider development planning and debates. In theory, local people can be mobilised to resist unsustainable (vulnerability increasing) forms of development or livelihood practices and to raise local concerns more effectively with political representatives. This paper focuses on the potential of CBDP initiatives to alleviate vulnerability in the context of climate change, and their limitations. It presents evidence from the Philippines that, in the limited forms in which they are currently employed, CBDP initiatives have the potential both to empower and disempower, and warns against treating CBDP as a panacea to disaster management problems. © Overseas Development Institute, 2006.","author":[{"dropping-particle":"","family":"Allen","given":"Katrina M.","non-dropping-particle":"","parse-names":false,"suffix":""}],"container-title":"Disasters","id":"ITEM-1","issue":"1","issued":{"date-parts":[["2006"]]},"page":"81-101","title":"Community-based disaster preparedness and climate adaptation: Local capacity-building in the Philippines","type":"article-journal","volume":"30"},"uris":["http://www.mendeley.com/documents/?uuid=8e32884c-8fe4-4284-bca3-78a525d89bef"]}],"mendeley":{"formattedCitation":"[33]","plainTextFormattedCitation":"[33]","previouslyFormattedCitation":"[33]"},"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[33]</w:t>
            </w:r>
            <w:r w:rsidRPr="00C126D0">
              <w:rPr>
                <w:rFonts w:cstheme="minorHAnsi"/>
                <w:sz w:val="20"/>
                <w:szCs w:val="20"/>
              </w:rPr>
              <w:fldChar w:fldCharType="end"/>
            </w:r>
          </w:p>
        </w:tc>
        <w:tc>
          <w:tcPr>
            <w:tcW w:w="2009" w:type="dxa"/>
          </w:tcPr>
          <w:p w14:paraId="4289779F" w14:textId="4BA22403" w:rsidR="00956C1D" w:rsidRPr="00C126D0" w:rsidRDefault="005E5788" w:rsidP="0032728D">
            <w:pPr>
              <w:spacing w:after="0"/>
              <w:rPr>
                <w:rFonts w:cstheme="minorHAnsi"/>
                <w:sz w:val="20"/>
                <w:szCs w:val="20"/>
              </w:rPr>
            </w:pPr>
            <w:r w:rsidRPr="005E5788">
              <w:rPr>
                <w:rFonts w:cstheme="minorHAnsi"/>
                <w:sz w:val="20"/>
                <w:szCs w:val="20"/>
              </w:rPr>
              <w:t>In an effort to determine the extent to which community-based disaster preparedness (CBDP) initiatives can mitigate vulnerability associated with climate change.</w:t>
            </w:r>
          </w:p>
        </w:tc>
        <w:tc>
          <w:tcPr>
            <w:tcW w:w="1373" w:type="dxa"/>
          </w:tcPr>
          <w:p w14:paraId="2EBEEAA0" w14:textId="6873E205" w:rsidR="00956C1D" w:rsidRPr="00C126D0" w:rsidRDefault="00956C1D" w:rsidP="0032728D">
            <w:pPr>
              <w:spacing w:after="0"/>
              <w:rPr>
                <w:rFonts w:cstheme="minorHAnsi"/>
                <w:sz w:val="20"/>
                <w:szCs w:val="20"/>
              </w:rPr>
            </w:pPr>
            <w:r w:rsidRPr="00C126D0">
              <w:rPr>
                <w:rFonts w:cstheme="minorHAnsi"/>
                <w:sz w:val="20"/>
                <w:szCs w:val="20"/>
              </w:rPr>
              <w:t>Review of CBDP initiatives in the Philippines</w:t>
            </w:r>
          </w:p>
        </w:tc>
        <w:tc>
          <w:tcPr>
            <w:tcW w:w="2408" w:type="dxa"/>
          </w:tcPr>
          <w:p w14:paraId="6D3BCA1F" w14:textId="40B2C7F6" w:rsidR="00956C1D" w:rsidRPr="00C126D0" w:rsidRDefault="00956C1D" w:rsidP="0032728D">
            <w:pPr>
              <w:spacing w:after="0"/>
              <w:rPr>
                <w:rFonts w:cstheme="minorHAnsi"/>
                <w:sz w:val="20"/>
                <w:szCs w:val="20"/>
              </w:rPr>
            </w:pPr>
            <w:r w:rsidRPr="00C126D0">
              <w:rPr>
                <w:rFonts w:cstheme="minorHAnsi"/>
                <w:sz w:val="20"/>
                <w:szCs w:val="20"/>
              </w:rPr>
              <w:t>CBDP initiatives can both empower and disempower local communities</w:t>
            </w:r>
          </w:p>
        </w:tc>
        <w:tc>
          <w:tcPr>
            <w:tcW w:w="2340" w:type="dxa"/>
          </w:tcPr>
          <w:p w14:paraId="29C60AD6" w14:textId="3F925EDE" w:rsidR="00956C1D" w:rsidRPr="00C126D0" w:rsidRDefault="005E5788" w:rsidP="0032728D">
            <w:pPr>
              <w:spacing w:after="0"/>
              <w:rPr>
                <w:rFonts w:cstheme="minorHAnsi"/>
                <w:sz w:val="20"/>
                <w:szCs w:val="20"/>
              </w:rPr>
            </w:pPr>
            <w:r w:rsidRPr="005E5788">
              <w:rPr>
                <w:rFonts w:cstheme="minorHAnsi"/>
                <w:sz w:val="20"/>
                <w:szCs w:val="20"/>
              </w:rPr>
              <w:t>CBDP should not be considered a panacea for all disaster management issues, the study cautions.</w:t>
            </w:r>
          </w:p>
        </w:tc>
      </w:tr>
      <w:tr w:rsidR="00956C1D" w:rsidRPr="00C126D0" w14:paraId="3891CD56" w14:textId="77777777" w:rsidTr="00956C1D">
        <w:trPr>
          <w:trHeight w:val="56"/>
        </w:trPr>
        <w:tc>
          <w:tcPr>
            <w:tcW w:w="534" w:type="dxa"/>
          </w:tcPr>
          <w:p w14:paraId="0224FC1C" w14:textId="130F2788" w:rsidR="00956C1D" w:rsidRPr="00C126D0" w:rsidRDefault="00956C1D" w:rsidP="0032728D">
            <w:pPr>
              <w:spacing w:after="0"/>
              <w:rPr>
                <w:rFonts w:cstheme="minorHAnsi"/>
                <w:sz w:val="20"/>
                <w:szCs w:val="20"/>
              </w:rPr>
            </w:pPr>
            <w:r w:rsidRPr="00C126D0">
              <w:rPr>
                <w:rFonts w:cstheme="minorHAnsi"/>
                <w:color w:val="000000"/>
                <w:sz w:val="20"/>
                <w:szCs w:val="20"/>
              </w:rPr>
              <w:t>34</w:t>
            </w:r>
          </w:p>
        </w:tc>
        <w:tc>
          <w:tcPr>
            <w:tcW w:w="1321" w:type="dxa"/>
          </w:tcPr>
          <w:p w14:paraId="139B02FC" w14:textId="65C7957F" w:rsidR="00956C1D" w:rsidRPr="00C126D0" w:rsidRDefault="00956C1D" w:rsidP="0032728D">
            <w:pPr>
              <w:spacing w:after="0"/>
              <w:rPr>
                <w:rFonts w:cstheme="minorHAnsi"/>
                <w:sz w:val="20"/>
                <w:szCs w:val="20"/>
              </w:rPr>
            </w:pPr>
            <w:r w:rsidRPr="00C126D0">
              <w:rPr>
                <w:rFonts w:cstheme="minorHAnsi"/>
                <w:sz w:val="20"/>
                <w:szCs w:val="20"/>
              </w:rPr>
              <w:t xml:space="preserve">Ronald </w:t>
            </w:r>
            <w:r w:rsidRPr="00C126D0">
              <w:rPr>
                <w:rFonts w:eastAsia="Times New Roman" w:cstheme="minorHAnsi"/>
                <w:sz w:val="20"/>
                <w:szCs w:val="20"/>
              </w:rPr>
              <w:t xml:space="preserve">et al. </w:t>
            </w:r>
            <w:r w:rsidRPr="00C126D0">
              <w:rPr>
                <w:rFonts w:cstheme="minorHAnsi"/>
                <w:sz w:val="20"/>
                <w:szCs w:val="20"/>
              </w:rPr>
              <w:fldChar w:fldCharType="begin" w:fldLock="1"/>
            </w:r>
            <w:r w:rsidRPr="00C126D0">
              <w:rPr>
                <w:rFonts w:cstheme="minorHAnsi"/>
                <w:sz w:val="20"/>
                <w:szCs w:val="20"/>
              </w:rPr>
              <w:instrText>ADDIN CSL_CITATION {"citationItems":[{"id":"ITEM-1","itemData":{"DOI":"10.1111/j.0361-3666.2003.00237.x","ISSN":"03613666","PMID":"14725091","abstract":"Especially since the terrorist attacks of 11 September 2001, governments worldwide have invested considerable resources in the writing of terrorism emergency response plans. Particularly in the United States, the federal government has created new homeland security organisations and urged state and local governments to draw up plans. This emphasis on the written plan tends to draw attention away from the process of planning itself and the original objective of achieving community emergency preparedness. This paper reviews the concepts of community preparedness and emergency planning, and their relationships with training, exercises and the written plan. A series of 10 planning process guidelines are presented that draw upon the preparedness literature for natural and technological disasters, and can be applied to any environmental threat.","author":[{"dropping-particle":"","family":"Perry","given":"Ronald W.","non-dropping-particle":"","parse-names":false,"suffix":""},{"dropping-particle":"","family":"Lindell","given":"Michael K.","non-dropping-particle":"","parse-names":false,"suffix":""}],"container-title":"Disasters","id":"ITEM-1","issue":"4","issued":{"date-parts":[["2003"]]},"page":"336-350","title":"Preparedness for emergency response: Guidelines for the emergency planning process","type":"article-journal","volume":"27"},"uris":["http://www.mendeley.com/documents/?uuid=2c9234f4-22cc-4b80-8f1a-c27aa1bc9f06"]}],"mendeley":{"formattedCitation":"[34]","plainTextFormattedCitation":"[34]","previouslyFormattedCitation":"[34]"},"properties":{"noteIndex":0},"schema":"https://github.com/citation-style-language/schema/raw/master/csl-citation.json"}</w:instrText>
            </w:r>
            <w:r w:rsidRPr="00C126D0">
              <w:rPr>
                <w:rFonts w:cstheme="minorHAnsi"/>
                <w:sz w:val="20"/>
                <w:szCs w:val="20"/>
              </w:rPr>
              <w:fldChar w:fldCharType="separate"/>
            </w:r>
            <w:r w:rsidRPr="00C126D0">
              <w:rPr>
                <w:rFonts w:cstheme="minorHAnsi"/>
                <w:noProof/>
                <w:sz w:val="20"/>
                <w:szCs w:val="20"/>
              </w:rPr>
              <w:t>[34]</w:t>
            </w:r>
            <w:r w:rsidRPr="00C126D0">
              <w:rPr>
                <w:rFonts w:cstheme="minorHAnsi"/>
                <w:sz w:val="20"/>
                <w:szCs w:val="20"/>
              </w:rPr>
              <w:fldChar w:fldCharType="end"/>
            </w:r>
          </w:p>
        </w:tc>
        <w:tc>
          <w:tcPr>
            <w:tcW w:w="2009" w:type="dxa"/>
          </w:tcPr>
          <w:p w14:paraId="507FFF38" w14:textId="7AECEE1B" w:rsidR="00956C1D" w:rsidRPr="00C126D0" w:rsidRDefault="005E5788" w:rsidP="0032728D">
            <w:pPr>
              <w:spacing w:after="0"/>
              <w:rPr>
                <w:rFonts w:cstheme="minorHAnsi"/>
                <w:sz w:val="20"/>
                <w:szCs w:val="20"/>
              </w:rPr>
            </w:pPr>
            <w:r w:rsidRPr="005E5788">
              <w:rPr>
                <w:rFonts w:cstheme="minorHAnsi"/>
                <w:sz w:val="20"/>
                <w:szCs w:val="20"/>
              </w:rPr>
              <w:t>In order to reassess the principles underlying emergency planning and community preparedness</w:t>
            </w:r>
            <w:r>
              <w:rPr>
                <w:rFonts w:cstheme="minorHAnsi"/>
                <w:sz w:val="20"/>
                <w:szCs w:val="20"/>
              </w:rPr>
              <w:t>.</w:t>
            </w:r>
          </w:p>
        </w:tc>
        <w:tc>
          <w:tcPr>
            <w:tcW w:w="1373" w:type="dxa"/>
          </w:tcPr>
          <w:p w14:paraId="596ED6C4" w14:textId="3AEA4C82" w:rsidR="00956C1D" w:rsidRPr="00C126D0" w:rsidRDefault="005E5788" w:rsidP="0032728D">
            <w:pPr>
              <w:spacing w:after="0"/>
              <w:rPr>
                <w:rFonts w:cstheme="minorHAnsi"/>
                <w:sz w:val="20"/>
                <w:szCs w:val="20"/>
              </w:rPr>
            </w:pPr>
            <w:r w:rsidRPr="00C126D0">
              <w:rPr>
                <w:rFonts w:cstheme="minorHAnsi"/>
                <w:sz w:val="20"/>
                <w:szCs w:val="20"/>
              </w:rPr>
              <w:t xml:space="preserve">Literature review </w:t>
            </w:r>
          </w:p>
        </w:tc>
        <w:tc>
          <w:tcPr>
            <w:tcW w:w="2408" w:type="dxa"/>
          </w:tcPr>
          <w:p w14:paraId="0C320BBA" w14:textId="1EBF8D23" w:rsidR="00956C1D" w:rsidRPr="00C126D0" w:rsidRDefault="005E5788" w:rsidP="0032728D">
            <w:pPr>
              <w:spacing w:after="0"/>
              <w:rPr>
                <w:rFonts w:cstheme="minorHAnsi"/>
                <w:sz w:val="20"/>
                <w:szCs w:val="20"/>
              </w:rPr>
            </w:pPr>
            <w:r w:rsidRPr="005E5788">
              <w:rPr>
                <w:rFonts w:cstheme="minorHAnsi"/>
                <w:sz w:val="20"/>
                <w:szCs w:val="20"/>
              </w:rPr>
              <w:t>The initial goal of attaining emergency preparedness within the community may be compromised in favor of placing too much emphasis on written plans.</w:t>
            </w:r>
          </w:p>
        </w:tc>
        <w:tc>
          <w:tcPr>
            <w:tcW w:w="2340" w:type="dxa"/>
          </w:tcPr>
          <w:p w14:paraId="76F88EF9" w14:textId="23974B69" w:rsidR="00956C1D" w:rsidRPr="00C126D0" w:rsidRDefault="005E5788" w:rsidP="0032728D">
            <w:pPr>
              <w:spacing w:after="0"/>
              <w:rPr>
                <w:rFonts w:cstheme="minorHAnsi"/>
                <w:sz w:val="20"/>
                <w:szCs w:val="20"/>
              </w:rPr>
            </w:pPr>
            <w:r w:rsidRPr="005E5788">
              <w:rPr>
                <w:rFonts w:cstheme="minorHAnsi"/>
                <w:sz w:val="20"/>
                <w:szCs w:val="20"/>
              </w:rPr>
              <w:t>To facilitate community readiness, the study provides guidelines for the emergency planning procedure.</w:t>
            </w:r>
          </w:p>
        </w:tc>
      </w:tr>
      <w:tr w:rsidR="00956C1D" w:rsidRPr="00C126D0" w14:paraId="23E176A5" w14:textId="77777777" w:rsidTr="00956C1D">
        <w:trPr>
          <w:trHeight w:val="56"/>
        </w:trPr>
        <w:tc>
          <w:tcPr>
            <w:tcW w:w="534" w:type="dxa"/>
          </w:tcPr>
          <w:p w14:paraId="732061B1" w14:textId="476C46ED" w:rsidR="00956C1D" w:rsidRPr="00C126D0" w:rsidRDefault="00956C1D" w:rsidP="00C126D0">
            <w:pPr>
              <w:spacing w:after="0"/>
              <w:rPr>
                <w:rFonts w:cstheme="minorHAnsi"/>
                <w:sz w:val="20"/>
                <w:szCs w:val="20"/>
              </w:rPr>
            </w:pPr>
            <w:r w:rsidRPr="00C126D0">
              <w:rPr>
                <w:rFonts w:cstheme="minorHAnsi"/>
                <w:color w:val="000000"/>
                <w:sz w:val="20"/>
                <w:szCs w:val="20"/>
              </w:rPr>
              <w:t>35</w:t>
            </w:r>
          </w:p>
        </w:tc>
        <w:tc>
          <w:tcPr>
            <w:tcW w:w="1321" w:type="dxa"/>
          </w:tcPr>
          <w:p w14:paraId="49F8B06A" w14:textId="2B0B24E1" w:rsidR="00956C1D" w:rsidRPr="00C126D0" w:rsidRDefault="00956C1D" w:rsidP="00C126D0">
            <w:pPr>
              <w:spacing w:after="0"/>
              <w:rPr>
                <w:rFonts w:cstheme="minorHAnsi"/>
                <w:sz w:val="20"/>
                <w:szCs w:val="20"/>
              </w:rPr>
            </w:pPr>
            <w:r w:rsidRPr="00C126D0">
              <w:rPr>
                <w:rFonts w:eastAsia="Times New Roman" w:cstheme="minorHAnsi"/>
                <w:sz w:val="20"/>
                <w:szCs w:val="20"/>
              </w:rPr>
              <w:t xml:space="preserve">Lebel </w:t>
            </w:r>
            <w:r w:rsidRPr="00C126D0">
              <w:rPr>
                <w:rFonts w:eastAsia="Times New Roman" w:cstheme="minorHAnsi"/>
                <w:sz w:val="20"/>
                <w:szCs w:val="20"/>
              </w:rPr>
              <w:t xml:space="preserve">et al. </w:t>
            </w:r>
            <w:r w:rsidRPr="00C126D0">
              <w:rPr>
                <w:rFonts w:eastAsia="Times New Roman" w:cstheme="minorHAnsi"/>
                <w:sz w:val="20"/>
                <w:szCs w:val="20"/>
              </w:rPr>
              <w:fldChar w:fldCharType="begin" w:fldLock="1"/>
            </w:r>
            <w:r w:rsidRPr="00C126D0">
              <w:rPr>
                <w:rFonts w:eastAsia="Times New Roman" w:cstheme="minorHAnsi"/>
                <w:sz w:val="20"/>
                <w:szCs w:val="20"/>
              </w:rPr>
              <w:instrText>ADDIN CSL_CITATION {"citationItems":[{"id":"ITEM-1","itemData":{"DOI":"10.5751/ES-01606-110119","ISBN":"1708-3087","ISSN":"1708-3087","PMID":"547","abstract":"The sustainability of regional development can be usefully explored through several different lenses. In situations in which uncertainties and change are key features of the ecological landscape and social organization, critical factors for sustainability are resilience, the capacity to cope and adapt, and the conservation of sources of innovation and renewal. However, interventions in social-ecological systems with the aim of altering resilience immediately confront issues of governance. Who decides what should be made resilient to what? For whom is resilience to be managed, and for what purpose? In this paper we draw on the insights from a diverse set of case studies from around the world in which members of the Resilience Alliance have observed or engaged with sustainability problems at regional scales. Our central question is: How do certain attributes of governance function in society to enhance the capacity to manage resilience? Three specific propositions were explored: (1) participation builds trust, and deliberation leads to the shared understanding needed to mobilize and self-organize; (2) polycentric and multilayered institutions improve the fit between knowledge, action, and social-ecological contexts in ways that allow societies to respond more adaptively at appropriate levels; and (3) accountable authorities that also pursue just distributions of benefits and involuntary risks enhance the adaptive capacity of vulnerable groups and society as a whole. Some support was found for parts of all three propositions. In exploring the sustainability of regional social-ecological systems, we are usually faced with a set of ecosystem goods and services that interact with a collection of users with different technologies, interests, and levels of power. In this situation in our roles as analysts, facilitators, change agents, or stakeholders, we not only need to ask: The resilience of what, to what? We must also ask: For whom? Copyright © 2006 by the author(s).","author":[{"dropping-particle":"","family":"Lebel","given":"Louis","non-dropping-particle":"","parse-names":false,"suffix":""},{"dropping-particle":"","family":"Anderies","given":"John M.","non-dropping-particle":"","parse-names":false,"suffix":""},{"dropping-particle":"","family":"Campbell","given":"Bruce","non-dropping-particle":"","parse-names":false,"suffix":""},{"dropping-particle":"","family":"Folke","given":"Carl","non-dropping-particle":"","parse-names":false,"suffix":""},{"dropping-particle":"","family":"Hatfield-Dodds","given":"Steve","non-dropping-particle":"","parse-names":false,"suffix":""},{"dropping-particle":"","family":"Hughes","given":"Terry P.","non-dropping-particle":"","parse-names":false,"suffix":""},{"dropping-particle":"","family":"Wilson","given":"James","non-dropping-particle":"","parse-names":false,"suffix":""}],"container-title":"Ecology and Society","id":"ITEM-1","issue":"1","issued":{"date-parts":[["2006"]]},"page":"art19","title":"Governance and the Capacity to Manage Resilience in Regional Social-Ecological Systems","type":"article-journal","volume":"11"},"uris":["http://www.mendeley.com/documents/?uuid=5821d2e8-0d37-41bb-81a6-d4021f650a6e"]}],"mendeley":{"formattedCitation":"[35]","plainTextFormattedCitation":"[35]"},"properties":{"noteIndex":0},"schema":"https://github.com/citation-style-language/schema/raw/master/csl-citation.json"}</w:instrText>
            </w:r>
            <w:r w:rsidRPr="00C126D0">
              <w:rPr>
                <w:rFonts w:eastAsia="Times New Roman" w:cstheme="minorHAnsi"/>
                <w:sz w:val="20"/>
                <w:szCs w:val="20"/>
              </w:rPr>
              <w:fldChar w:fldCharType="separate"/>
            </w:r>
            <w:r w:rsidRPr="00C126D0">
              <w:rPr>
                <w:rFonts w:eastAsia="Times New Roman" w:cstheme="minorHAnsi"/>
                <w:noProof/>
                <w:sz w:val="20"/>
                <w:szCs w:val="20"/>
              </w:rPr>
              <w:t>[35]</w:t>
            </w:r>
            <w:r w:rsidRPr="00C126D0">
              <w:rPr>
                <w:rFonts w:eastAsia="Times New Roman" w:cstheme="minorHAnsi"/>
                <w:sz w:val="20"/>
                <w:szCs w:val="20"/>
              </w:rPr>
              <w:fldChar w:fldCharType="end"/>
            </w:r>
          </w:p>
        </w:tc>
        <w:tc>
          <w:tcPr>
            <w:tcW w:w="2009" w:type="dxa"/>
          </w:tcPr>
          <w:p w14:paraId="3935487C" w14:textId="72043121" w:rsidR="00956C1D" w:rsidRPr="00C126D0" w:rsidRDefault="002A3A8E" w:rsidP="00C126D0">
            <w:pPr>
              <w:spacing w:after="0"/>
              <w:rPr>
                <w:rFonts w:cstheme="minorHAnsi"/>
                <w:sz w:val="20"/>
                <w:szCs w:val="20"/>
              </w:rPr>
            </w:pPr>
            <w:r w:rsidRPr="002A3A8E">
              <w:rPr>
                <w:rFonts w:eastAsia="Times New Roman" w:cstheme="minorHAnsi"/>
                <w:sz w:val="20"/>
                <w:szCs w:val="20"/>
              </w:rPr>
              <w:t>Determine how societal governance attributes operate to improve the capacity to manage resilience.</w:t>
            </w:r>
          </w:p>
        </w:tc>
        <w:tc>
          <w:tcPr>
            <w:tcW w:w="1373" w:type="dxa"/>
          </w:tcPr>
          <w:p w14:paraId="4C2A971C" w14:textId="45D13431" w:rsidR="00956C1D" w:rsidRPr="00C126D0" w:rsidRDefault="00956C1D" w:rsidP="00C126D0">
            <w:pPr>
              <w:spacing w:after="0"/>
              <w:rPr>
                <w:rFonts w:cstheme="minorHAnsi"/>
                <w:sz w:val="20"/>
                <w:szCs w:val="20"/>
              </w:rPr>
            </w:pPr>
            <w:r w:rsidRPr="00C126D0">
              <w:rPr>
                <w:rFonts w:eastAsia="Times New Roman" w:cstheme="minorHAnsi"/>
                <w:sz w:val="20"/>
                <w:szCs w:val="20"/>
              </w:rPr>
              <w:t xml:space="preserve">Case studies </w:t>
            </w:r>
          </w:p>
        </w:tc>
        <w:tc>
          <w:tcPr>
            <w:tcW w:w="2408" w:type="dxa"/>
          </w:tcPr>
          <w:p w14:paraId="18F3F3C0" w14:textId="74F850F6" w:rsidR="00956C1D" w:rsidRPr="00C126D0" w:rsidRDefault="000F593A" w:rsidP="00C126D0">
            <w:pPr>
              <w:spacing w:after="0"/>
              <w:rPr>
                <w:rFonts w:cstheme="minorHAnsi"/>
                <w:sz w:val="20"/>
                <w:szCs w:val="20"/>
              </w:rPr>
            </w:pPr>
            <w:r w:rsidRPr="000F593A">
              <w:rPr>
                <w:rFonts w:eastAsia="Times New Roman" w:cstheme="minorHAnsi"/>
                <w:sz w:val="20"/>
                <w:szCs w:val="20"/>
              </w:rPr>
              <w:t xml:space="preserve">Adaptive capacity is enhanced through a relationship </w:t>
            </w:r>
            <w:r w:rsidRPr="000F593A">
              <w:rPr>
                <w:rFonts w:eastAsia="Times New Roman" w:cstheme="minorHAnsi"/>
                <w:sz w:val="20"/>
                <w:szCs w:val="20"/>
              </w:rPr>
              <w:t>among knowledge</w:t>
            </w:r>
            <w:r w:rsidRPr="000F593A">
              <w:rPr>
                <w:rFonts w:eastAsia="Times New Roman" w:cstheme="minorHAnsi"/>
                <w:sz w:val="20"/>
                <w:szCs w:val="20"/>
              </w:rPr>
              <w:t>, action, and social-ecological contexts</w:t>
            </w:r>
            <w:r>
              <w:rPr>
                <w:rFonts w:eastAsia="Times New Roman" w:cstheme="minorHAnsi"/>
                <w:sz w:val="20"/>
                <w:szCs w:val="20"/>
              </w:rPr>
              <w:t>.</w:t>
            </w:r>
          </w:p>
        </w:tc>
        <w:tc>
          <w:tcPr>
            <w:tcW w:w="2340" w:type="dxa"/>
          </w:tcPr>
          <w:p w14:paraId="61DAD9C6" w14:textId="7546F163" w:rsidR="00956C1D" w:rsidRPr="00C126D0" w:rsidRDefault="000F593A" w:rsidP="00C126D0">
            <w:pPr>
              <w:spacing w:after="0"/>
              <w:rPr>
                <w:rFonts w:cstheme="minorHAnsi"/>
                <w:sz w:val="20"/>
                <w:szCs w:val="20"/>
              </w:rPr>
            </w:pPr>
            <w:r w:rsidRPr="000F593A">
              <w:rPr>
                <w:rFonts w:eastAsia="Times New Roman" w:cstheme="minorHAnsi"/>
                <w:sz w:val="20"/>
                <w:szCs w:val="20"/>
              </w:rPr>
              <w:t>The necessity of considering who determines what should be made resilient to what, for whom, and for what purpose, as well as the significance of governance in managing resilience, is emphasized.</w:t>
            </w:r>
          </w:p>
        </w:tc>
      </w:tr>
    </w:tbl>
    <w:p w14:paraId="126229D4" w14:textId="51EDC7E1" w:rsidR="005F6415" w:rsidRPr="00C126D0" w:rsidRDefault="005F6415" w:rsidP="005F6415">
      <w:pPr>
        <w:rPr>
          <w:rFonts w:cstheme="minorHAnsi"/>
          <w:sz w:val="20"/>
          <w:szCs w:val="20"/>
        </w:rPr>
      </w:pPr>
    </w:p>
    <w:sectPr w:rsidR="005F6415" w:rsidRPr="00C126D0" w:rsidSect="0095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7C"/>
    <w:rsid w:val="00043A07"/>
    <w:rsid w:val="00064F09"/>
    <w:rsid w:val="00067D64"/>
    <w:rsid w:val="000A0D0C"/>
    <w:rsid w:val="000B3212"/>
    <w:rsid w:val="000F593A"/>
    <w:rsid w:val="001630D5"/>
    <w:rsid w:val="00212E6A"/>
    <w:rsid w:val="00232C55"/>
    <w:rsid w:val="002742E1"/>
    <w:rsid w:val="002A3A8E"/>
    <w:rsid w:val="002C28DC"/>
    <w:rsid w:val="0032728D"/>
    <w:rsid w:val="0036092F"/>
    <w:rsid w:val="00435AFB"/>
    <w:rsid w:val="0051224A"/>
    <w:rsid w:val="00556251"/>
    <w:rsid w:val="005E5788"/>
    <w:rsid w:val="005F195C"/>
    <w:rsid w:val="005F6415"/>
    <w:rsid w:val="00610B7C"/>
    <w:rsid w:val="00630B13"/>
    <w:rsid w:val="0071564B"/>
    <w:rsid w:val="00834A6C"/>
    <w:rsid w:val="008F73E6"/>
    <w:rsid w:val="00956C1D"/>
    <w:rsid w:val="009A5493"/>
    <w:rsid w:val="00AC32F2"/>
    <w:rsid w:val="00B0116B"/>
    <w:rsid w:val="00B32CBC"/>
    <w:rsid w:val="00BB0DDC"/>
    <w:rsid w:val="00C126D0"/>
    <w:rsid w:val="00C57C53"/>
    <w:rsid w:val="00C82058"/>
    <w:rsid w:val="00D0324E"/>
    <w:rsid w:val="00E33A3C"/>
    <w:rsid w:val="00E921FA"/>
    <w:rsid w:val="00EC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574E"/>
  <w15:chartTrackingRefBased/>
  <w15:docId w15:val="{10AEA02D-463A-4473-A10F-E42CAA36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B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9197">
      <w:bodyDiv w:val="1"/>
      <w:marLeft w:val="0"/>
      <w:marRight w:val="0"/>
      <w:marTop w:val="0"/>
      <w:marBottom w:val="0"/>
      <w:divBdr>
        <w:top w:val="none" w:sz="0" w:space="0" w:color="auto"/>
        <w:left w:val="none" w:sz="0" w:space="0" w:color="auto"/>
        <w:bottom w:val="none" w:sz="0" w:space="0" w:color="auto"/>
        <w:right w:val="none" w:sz="0" w:space="0" w:color="auto"/>
      </w:divBdr>
    </w:div>
    <w:div w:id="122159879">
      <w:bodyDiv w:val="1"/>
      <w:marLeft w:val="0"/>
      <w:marRight w:val="0"/>
      <w:marTop w:val="0"/>
      <w:marBottom w:val="0"/>
      <w:divBdr>
        <w:top w:val="none" w:sz="0" w:space="0" w:color="auto"/>
        <w:left w:val="none" w:sz="0" w:space="0" w:color="auto"/>
        <w:bottom w:val="none" w:sz="0" w:space="0" w:color="auto"/>
        <w:right w:val="none" w:sz="0" w:space="0" w:color="auto"/>
      </w:divBdr>
      <w:divsChild>
        <w:div w:id="714811182">
          <w:marLeft w:val="0"/>
          <w:marRight w:val="0"/>
          <w:marTop w:val="0"/>
          <w:marBottom w:val="0"/>
          <w:divBdr>
            <w:top w:val="single" w:sz="2" w:space="0" w:color="auto"/>
            <w:left w:val="single" w:sz="2" w:space="0" w:color="auto"/>
            <w:bottom w:val="single" w:sz="6" w:space="0" w:color="auto"/>
            <w:right w:val="single" w:sz="2" w:space="0" w:color="auto"/>
          </w:divBdr>
          <w:divsChild>
            <w:div w:id="1711540032">
              <w:marLeft w:val="0"/>
              <w:marRight w:val="0"/>
              <w:marTop w:val="100"/>
              <w:marBottom w:val="100"/>
              <w:divBdr>
                <w:top w:val="single" w:sz="2" w:space="0" w:color="D9D9E3"/>
                <w:left w:val="single" w:sz="2" w:space="0" w:color="D9D9E3"/>
                <w:bottom w:val="single" w:sz="2" w:space="0" w:color="D9D9E3"/>
                <w:right w:val="single" w:sz="2" w:space="0" w:color="D9D9E3"/>
              </w:divBdr>
              <w:divsChild>
                <w:div w:id="431051427">
                  <w:marLeft w:val="0"/>
                  <w:marRight w:val="0"/>
                  <w:marTop w:val="0"/>
                  <w:marBottom w:val="0"/>
                  <w:divBdr>
                    <w:top w:val="single" w:sz="2" w:space="0" w:color="D9D9E3"/>
                    <w:left w:val="single" w:sz="2" w:space="0" w:color="D9D9E3"/>
                    <w:bottom w:val="single" w:sz="2" w:space="0" w:color="D9D9E3"/>
                    <w:right w:val="single" w:sz="2" w:space="0" w:color="D9D9E3"/>
                  </w:divBdr>
                  <w:divsChild>
                    <w:div w:id="1949267987">
                      <w:marLeft w:val="0"/>
                      <w:marRight w:val="0"/>
                      <w:marTop w:val="0"/>
                      <w:marBottom w:val="0"/>
                      <w:divBdr>
                        <w:top w:val="single" w:sz="2" w:space="0" w:color="D9D9E3"/>
                        <w:left w:val="single" w:sz="2" w:space="0" w:color="D9D9E3"/>
                        <w:bottom w:val="single" w:sz="2" w:space="0" w:color="D9D9E3"/>
                        <w:right w:val="single" w:sz="2" w:space="0" w:color="D9D9E3"/>
                      </w:divBdr>
                      <w:divsChild>
                        <w:div w:id="1583371506">
                          <w:marLeft w:val="0"/>
                          <w:marRight w:val="0"/>
                          <w:marTop w:val="0"/>
                          <w:marBottom w:val="0"/>
                          <w:divBdr>
                            <w:top w:val="single" w:sz="2" w:space="0" w:color="D9D9E3"/>
                            <w:left w:val="single" w:sz="2" w:space="0" w:color="D9D9E3"/>
                            <w:bottom w:val="single" w:sz="2" w:space="0" w:color="D9D9E3"/>
                            <w:right w:val="single" w:sz="2" w:space="0" w:color="D9D9E3"/>
                          </w:divBdr>
                          <w:divsChild>
                            <w:div w:id="1506937746">
                              <w:marLeft w:val="0"/>
                              <w:marRight w:val="0"/>
                              <w:marTop w:val="0"/>
                              <w:marBottom w:val="0"/>
                              <w:divBdr>
                                <w:top w:val="single" w:sz="2" w:space="0" w:color="D9D9E3"/>
                                <w:left w:val="single" w:sz="2" w:space="0" w:color="D9D9E3"/>
                                <w:bottom w:val="single" w:sz="2" w:space="0" w:color="D9D9E3"/>
                                <w:right w:val="single" w:sz="2" w:space="0" w:color="D9D9E3"/>
                              </w:divBdr>
                              <w:divsChild>
                                <w:div w:id="919287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8210200">
          <w:marLeft w:val="0"/>
          <w:marRight w:val="0"/>
          <w:marTop w:val="0"/>
          <w:marBottom w:val="0"/>
          <w:divBdr>
            <w:top w:val="single" w:sz="2" w:space="0" w:color="auto"/>
            <w:left w:val="single" w:sz="2" w:space="0" w:color="auto"/>
            <w:bottom w:val="single" w:sz="6" w:space="0" w:color="auto"/>
            <w:right w:val="single" w:sz="2" w:space="0" w:color="auto"/>
          </w:divBdr>
          <w:divsChild>
            <w:div w:id="641232042">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278045">
                  <w:marLeft w:val="0"/>
                  <w:marRight w:val="0"/>
                  <w:marTop w:val="0"/>
                  <w:marBottom w:val="0"/>
                  <w:divBdr>
                    <w:top w:val="single" w:sz="2" w:space="0" w:color="D9D9E3"/>
                    <w:left w:val="single" w:sz="2" w:space="0" w:color="D9D9E3"/>
                    <w:bottom w:val="single" w:sz="2" w:space="0" w:color="D9D9E3"/>
                    <w:right w:val="single" w:sz="2" w:space="0" w:color="D9D9E3"/>
                  </w:divBdr>
                  <w:divsChild>
                    <w:div w:id="1408262480">
                      <w:marLeft w:val="0"/>
                      <w:marRight w:val="0"/>
                      <w:marTop w:val="0"/>
                      <w:marBottom w:val="0"/>
                      <w:divBdr>
                        <w:top w:val="single" w:sz="2" w:space="0" w:color="D9D9E3"/>
                        <w:left w:val="single" w:sz="2" w:space="0" w:color="D9D9E3"/>
                        <w:bottom w:val="single" w:sz="2" w:space="0" w:color="D9D9E3"/>
                        <w:right w:val="single" w:sz="2" w:space="0" w:color="D9D9E3"/>
                      </w:divBdr>
                      <w:divsChild>
                        <w:div w:id="787312423">
                          <w:marLeft w:val="0"/>
                          <w:marRight w:val="0"/>
                          <w:marTop w:val="0"/>
                          <w:marBottom w:val="0"/>
                          <w:divBdr>
                            <w:top w:val="single" w:sz="2" w:space="0" w:color="D9D9E3"/>
                            <w:left w:val="single" w:sz="2" w:space="0" w:color="D9D9E3"/>
                            <w:bottom w:val="single" w:sz="2" w:space="0" w:color="D9D9E3"/>
                            <w:right w:val="single" w:sz="2" w:space="0" w:color="D9D9E3"/>
                          </w:divBdr>
                          <w:divsChild>
                            <w:div w:id="646400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60707421">
                      <w:marLeft w:val="0"/>
                      <w:marRight w:val="0"/>
                      <w:marTop w:val="0"/>
                      <w:marBottom w:val="0"/>
                      <w:divBdr>
                        <w:top w:val="single" w:sz="2" w:space="0" w:color="D9D9E3"/>
                        <w:left w:val="single" w:sz="2" w:space="0" w:color="D9D9E3"/>
                        <w:bottom w:val="single" w:sz="2" w:space="0" w:color="D9D9E3"/>
                        <w:right w:val="single" w:sz="2" w:space="0" w:color="D9D9E3"/>
                      </w:divBdr>
                      <w:divsChild>
                        <w:div w:id="1598098567">
                          <w:marLeft w:val="0"/>
                          <w:marRight w:val="0"/>
                          <w:marTop w:val="0"/>
                          <w:marBottom w:val="0"/>
                          <w:divBdr>
                            <w:top w:val="single" w:sz="2" w:space="0" w:color="D9D9E3"/>
                            <w:left w:val="single" w:sz="2" w:space="0" w:color="D9D9E3"/>
                            <w:bottom w:val="single" w:sz="2" w:space="0" w:color="D9D9E3"/>
                            <w:right w:val="single" w:sz="2" w:space="0" w:color="D9D9E3"/>
                          </w:divBdr>
                          <w:divsChild>
                            <w:div w:id="2082095681">
                              <w:marLeft w:val="0"/>
                              <w:marRight w:val="0"/>
                              <w:marTop w:val="0"/>
                              <w:marBottom w:val="0"/>
                              <w:divBdr>
                                <w:top w:val="single" w:sz="2" w:space="0" w:color="D9D9E3"/>
                                <w:left w:val="single" w:sz="2" w:space="0" w:color="D9D9E3"/>
                                <w:bottom w:val="single" w:sz="2" w:space="0" w:color="D9D9E3"/>
                                <w:right w:val="single" w:sz="2" w:space="0" w:color="D9D9E3"/>
                              </w:divBdr>
                              <w:divsChild>
                                <w:div w:id="1904028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45526715">
          <w:marLeft w:val="0"/>
          <w:marRight w:val="0"/>
          <w:marTop w:val="0"/>
          <w:marBottom w:val="0"/>
          <w:divBdr>
            <w:top w:val="single" w:sz="2" w:space="0" w:color="auto"/>
            <w:left w:val="single" w:sz="2" w:space="0" w:color="auto"/>
            <w:bottom w:val="single" w:sz="6" w:space="0" w:color="auto"/>
            <w:right w:val="single" w:sz="2" w:space="0" w:color="auto"/>
          </w:divBdr>
          <w:divsChild>
            <w:div w:id="1769040403">
              <w:marLeft w:val="0"/>
              <w:marRight w:val="0"/>
              <w:marTop w:val="100"/>
              <w:marBottom w:val="100"/>
              <w:divBdr>
                <w:top w:val="single" w:sz="2" w:space="0" w:color="D9D9E3"/>
                <w:left w:val="single" w:sz="2" w:space="0" w:color="D9D9E3"/>
                <w:bottom w:val="single" w:sz="2" w:space="0" w:color="D9D9E3"/>
                <w:right w:val="single" w:sz="2" w:space="0" w:color="D9D9E3"/>
              </w:divBdr>
              <w:divsChild>
                <w:div w:id="604112646">
                  <w:marLeft w:val="0"/>
                  <w:marRight w:val="0"/>
                  <w:marTop w:val="0"/>
                  <w:marBottom w:val="0"/>
                  <w:divBdr>
                    <w:top w:val="single" w:sz="2" w:space="0" w:color="D9D9E3"/>
                    <w:left w:val="single" w:sz="2" w:space="0" w:color="D9D9E3"/>
                    <w:bottom w:val="single" w:sz="2" w:space="0" w:color="D9D9E3"/>
                    <w:right w:val="single" w:sz="2" w:space="0" w:color="D9D9E3"/>
                  </w:divBdr>
                  <w:divsChild>
                    <w:div w:id="1227377559">
                      <w:marLeft w:val="0"/>
                      <w:marRight w:val="0"/>
                      <w:marTop w:val="0"/>
                      <w:marBottom w:val="0"/>
                      <w:divBdr>
                        <w:top w:val="single" w:sz="2" w:space="0" w:color="D9D9E3"/>
                        <w:left w:val="single" w:sz="2" w:space="0" w:color="D9D9E3"/>
                        <w:bottom w:val="single" w:sz="2" w:space="0" w:color="D9D9E3"/>
                        <w:right w:val="single" w:sz="2" w:space="0" w:color="D9D9E3"/>
                      </w:divBdr>
                      <w:divsChild>
                        <w:div w:id="1277565532">
                          <w:marLeft w:val="0"/>
                          <w:marRight w:val="0"/>
                          <w:marTop w:val="0"/>
                          <w:marBottom w:val="0"/>
                          <w:divBdr>
                            <w:top w:val="single" w:sz="2" w:space="0" w:color="D9D9E3"/>
                            <w:left w:val="single" w:sz="2" w:space="0" w:color="D9D9E3"/>
                            <w:bottom w:val="single" w:sz="2" w:space="0" w:color="D9D9E3"/>
                            <w:right w:val="single" w:sz="2" w:space="0" w:color="D9D9E3"/>
                          </w:divBdr>
                          <w:divsChild>
                            <w:div w:id="973483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1297366">
                      <w:marLeft w:val="0"/>
                      <w:marRight w:val="0"/>
                      <w:marTop w:val="0"/>
                      <w:marBottom w:val="0"/>
                      <w:divBdr>
                        <w:top w:val="single" w:sz="2" w:space="0" w:color="D9D9E3"/>
                        <w:left w:val="single" w:sz="2" w:space="0" w:color="D9D9E3"/>
                        <w:bottom w:val="single" w:sz="2" w:space="0" w:color="D9D9E3"/>
                        <w:right w:val="single" w:sz="2" w:space="0" w:color="D9D9E3"/>
                      </w:divBdr>
                      <w:divsChild>
                        <w:div w:id="1335917998">
                          <w:marLeft w:val="0"/>
                          <w:marRight w:val="0"/>
                          <w:marTop w:val="0"/>
                          <w:marBottom w:val="0"/>
                          <w:divBdr>
                            <w:top w:val="single" w:sz="2" w:space="0" w:color="D9D9E3"/>
                            <w:left w:val="single" w:sz="2" w:space="0" w:color="D9D9E3"/>
                            <w:bottom w:val="single" w:sz="2" w:space="0" w:color="D9D9E3"/>
                            <w:right w:val="single" w:sz="2" w:space="0" w:color="D9D9E3"/>
                          </w:divBdr>
                          <w:divsChild>
                            <w:div w:id="524830163">
                              <w:marLeft w:val="0"/>
                              <w:marRight w:val="0"/>
                              <w:marTop w:val="0"/>
                              <w:marBottom w:val="0"/>
                              <w:divBdr>
                                <w:top w:val="single" w:sz="2" w:space="0" w:color="D9D9E3"/>
                                <w:left w:val="single" w:sz="2" w:space="0" w:color="D9D9E3"/>
                                <w:bottom w:val="single" w:sz="2" w:space="0" w:color="D9D9E3"/>
                                <w:right w:val="single" w:sz="2" w:space="0" w:color="D9D9E3"/>
                              </w:divBdr>
                              <w:divsChild>
                                <w:div w:id="324281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24805165">
      <w:bodyDiv w:val="1"/>
      <w:marLeft w:val="0"/>
      <w:marRight w:val="0"/>
      <w:marTop w:val="0"/>
      <w:marBottom w:val="0"/>
      <w:divBdr>
        <w:top w:val="none" w:sz="0" w:space="0" w:color="auto"/>
        <w:left w:val="none" w:sz="0" w:space="0" w:color="auto"/>
        <w:bottom w:val="none" w:sz="0" w:space="0" w:color="auto"/>
        <w:right w:val="none" w:sz="0" w:space="0" w:color="auto"/>
      </w:divBdr>
    </w:div>
    <w:div w:id="729503785">
      <w:bodyDiv w:val="1"/>
      <w:marLeft w:val="0"/>
      <w:marRight w:val="0"/>
      <w:marTop w:val="0"/>
      <w:marBottom w:val="0"/>
      <w:divBdr>
        <w:top w:val="none" w:sz="0" w:space="0" w:color="auto"/>
        <w:left w:val="none" w:sz="0" w:space="0" w:color="auto"/>
        <w:bottom w:val="none" w:sz="0" w:space="0" w:color="auto"/>
        <w:right w:val="none" w:sz="0" w:space="0" w:color="auto"/>
      </w:divBdr>
      <w:divsChild>
        <w:div w:id="2011174045">
          <w:marLeft w:val="0"/>
          <w:marRight w:val="0"/>
          <w:marTop w:val="0"/>
          <w:marBottom w:val="0"/>
          <w:divBdr>
            <w:top w:val="single" w:sz="2" w:space="0" w:color="auto"/>
            <w:left w:val="single" w:sz="2" w:space="0" w:color="auto"/>
            <w:bottom w:val="single" w:sz="6" w:space="0" w:color="auto"/>
            <w:right w:val="single" w:sz="2" w:space="0" w:color="auto"/>
          </w:divBdr>
          <w:divsChild>
            <w:div w:id="12782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291020">
                  <w:marLeft w:val="0"/>
                  <w:marRight w:val="0"/>
                  <w:marTop w:val="0"/>
                  <w:marBottom w:val="0"/>
                  <w:divBdr>
                    <w:top w:val="single" w:sz="2" w:space="0" w:color="D9D9E3"/>
                    <w:left w:val="single" w:sz="2" w:space="0" w:color="D9D9E3"/>
                    <w:bottom w:val="single" w:sz="2" w:space="0" w:color="D9D9E3"/>
                    <w:right w:val="single" w:sz="2" w:space="0" w:color="D9D9E3"/>
                  </w:divBdr>
                  <w:divsChild>
                    <w:div w:id="1644040220">
                      <w:marLeft w:val="0"/>
                      <w:marRight w:val="0"/>
                      <w:marTop w:val="0"/>
                      <w:marBottom w:val="0"/>
                      <w:divBdr>
                        <w:top w:val="single" w:sz="2" w:space="0" w:color="D9D9E3"/>
                        <w:left w:val="single" w:sz="2" w:space="0" w:color="D9D9E3"/>
                        <w:bottom w:val="single" w:sz="2" w:space="0" w:color="D9D9E3"/>
                        <w:right w:val="single" w:sz="2" w:space="0" w:color="D9D9E3"/>
                      </w:divBdr>
                      <w:divsChild>
                        <w:div w:id="2071465053">
                          <w:marLeft w:val="0"/>
                          <w:marRight w:val="0"/>
                          <w:marTop w:val="0"/>
                          <w:marBottom w:val="0"/>
                          <w:divBdr>
                            <w:top w:val="single" w:sz="2" w:space="0" w:color="D9D9E3"/>
                            <w:left w:val="single" w:sz="2" w:space="0" w:color="D9D9E3"/>
                            <w:bottom w:val="single" w:sz="2" w:space="0" w:color="D9D9E3"/>
                            <w:right w:val="single" w:sz="2" w:space="0" w:color="D9D9E3"/>
                          </w:divBdr>
                          <w:divsChild>
                            <w:div w:id="1470588368">
                              <w:marLeft w:val="0"/>
                              <w:marRight w:val="0"/>
                              <w:marTop w:val="0"/>
                              <w:marBottom w:val="0"/>
                              <w:divBdr>
                                <w:top w:val="single" w:sz="2" w:space="0" w:color="D9D9E3"/>
                                <w:left w:val="single" w:sz="2" w:space="0" w:color="D9D9E3"/>
                                <w:bottom w:val="single" w:sz="2" w:space="0" w:color="D9D9E3"/>
                                <w:right w:val="single" w:sz="2" w:space="0" w:color="D9D9E3"/>
                              </w:divBdr>
                              <w:divsChild>
                                <w:div w:id="1385762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0995066">
          <w:marLeft w:val="0"/>
          <w:marRight w:val="0"/>
          <w:marTop w:val="0"/>
          <w:marBottom w:val="0"/>
          <w:divBdr>
            <w:top w:val="single" w:sz="2" w:space="0" w:color="auto"/>
            <w:left w:val="single" w:sz="2" w:space="0" w:color="auto"/>
            <w:bottom w:val="single" w:sz="6" w:space="0" w:color="auto"/>
            <w:right w:val="single" w:sz="2" w:space="0" w:color="auto"/>
          </w:divBdr>
          <w:divsChild>
            <w:div w:id="1694840664">
              <w:marLeft w:val="0"/>
              <w:marRight w:val="0"/>
              <w:marTop w:val="100"/>
              <w:marBottom w:val="100"/>
              <w:divBdr>
                <w:top w:val="single" w:sz="2" w:space="0" w:color="D9D9E3"/>
                <w:left w:val="single" w:sz="2" w:space="0" w:color="D9D9E3"/>
                <w:bottom w:val="single" w:sz="2" w:space="0" w:color="D9D9E3"/>
                <w:right w:val="single" w:sz="2" w:space="0" w:color="D9D9E3"/>
              </w:divBdr>
              <w:divsChild>
                <w:div w:id="936063776">
                  <w:marLeft w:val="0"/>
                  <w:marRight w:val="0"/>
                  <w:marTop w:val="0"/>
                  <w:marBottom w:val="0"/>
                  <w:divBdr>
                    <w:top w:val="single" w:sz="2" w:space="0" w:color="D9D9E3"/>
                    <w:left w:val="single" w:sz="2" w:space="0" w:color="D9D9E3"/>
                    <w:bottom w:val="single" w:sz="2" w:space="0" w:color="D9D9E3"/>
                    <w:right w:val="single" w:sz="2" w:space="0" w:color="D9D9E3"/>
                  </w:divBdr>
                  <w:divsChild>
                    <w:div w:id="871768384">
                      <w:marLeft w:val="0"/>
                      <w:marRight w:val="0"/>
                      <w:marTop w:val="0"/>
                      <w:marBottom w:val="0"/>
                      <w:divBdr>
                        <w:top w:val="single" w:sz="2" w:space="0" w:color="D9D9E3"/>
                        <w:left w:val="single" w:sz="2" w:space="0" w:color="D9D9E3"/>
                        <w:bottom w:val="single" w:sz="2" w:space="0" w:color="D9D9E3"/>
                        <w:right w:val="single" w:sz="2" w:space="0" w:color="D9D9E3"/>
                      </w:divBdr>
                      <w:divsChild>
                        <w:div w:id="1198078778">
                          <w:marLeft w:val="0"/>
                          <w:marRight w:val="0"/>
                          <w:marTop w:val="0"/>
                          <w:marBottom w:val="0"/>
                          <w:divBdr>
                            <w:top w:val="single" w:sz="2" w:space="0" w:color="D9D9E3"/>
                            <w:left w:val="single" w:sz="2" w:space="0" w:color="D9D9E3"/>
                            <w:bottom w:val="single" w:sz="2" w:space="0" w:color="D9D9E3"/>
                            <w:right w:val="single" w:sz="2" w:space="0" w:color="D9D9E3"/>
                          </w:divBdr>
                          <w:divsChild>
                            <w:div w:id="1326788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8286521">
                      <w:marLeft w:val="0"/>
                      <w:marRight w:val="0"/>
                      <w:marTop w:val="0"/>
                      <w:marBottom w:val="0"/>
                      <w:divBdr>
                        <w:top w:val="single" w:sz="2" w:space="0" w:color="D9D9E3"/>
                        <w:left w:val="single" w:sz="2" w:space="0" w:color="D9D9E3"/>
                        <w:bottom w:val="single" w:sz="2" w:space="0" w:color="D9D9E3"/>
                        <w:right w:val="single" w:sz="2" w:space="0" w:color="D9D9E3"/>
                      </w:divBdr>
                      <w:divsChild>
                        <w:div w:id="1558511986">
                          <w:marLeft w:val="0"/>
                          <w:marRight w:val="0"/>
                          <w:marTop w:val="0"/>
                          <w:marBottom w:val="0"/>
                          <w:divBdr>
                            <w:top w:val="single" w:sz="2" w:space="0" w:color="D9D9E3"/>
                            <w:left w:val="single" w:sz="2" w:space="0" w:color="D9D9E3"/>
                            <w:bottom w:val="single" w:sz="2" w:space="0" w:color="D9D9E3"/>
                            <w:right w:val="single" w:sz="2" w:space="0" w:color="D9D9E3"/>
                          </w:divBdr>
                          <w:divsChild>
                            <w:div w:id="1915435902">
                              <w:marLeft w:val="0"/>
                              <w:marRight w:val="0"/>
                              <w:marTop w:val="0"/>
                              <w:marBottom w:val="0"/>
                              <w:divBdr>
                                <w:top w:val="single" w:sz="2" w:space="0" w:color="D9D9E3"/>
                                <w:left w:val="single" w:sz="2" w:space="0" w:color="D9D9E3"/>
                                <w:bottom w:val="single" w:sz="2" w:space="0" w:color="D9D9E3"/>
                                <w:right w:val="single" w:sz="2" w:space="0" w:color="D9D9E3"/>
                              </w:divBdr>
                              <w:divsChild>
                                <w:div w:id="851601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636937">
          <w:marLeft w:val="0"/>
          <w:marRight w:val="0"/>
          <w:marTop w:val="0"/>
          <w:marBottom w:val="0"/>
          <w:divBdr>
            <w:top w:val="single" w:sz="2" w:space="0" w:color="auto"/>
            <w:left w:val="single" w:sz="2" w:space="0" w:color="auto"/>
            <w:bottom w:val="single" w:sz="6" w:space="0" w:color="auto"/>
            <w:right w:val="single" w:sz="2" w:space="0" w:color="auto"/>
          </w:divBdr>
          <w:divsChild>
            <w:div w:id="22977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625818785">
                  <w:marLeft w:val="0"/>
                  <w:marRight w:val="0"/>
                  <w:marTop w:val="0"/>
                  <w:marBottom w:val="0"/>
                  <w:divBdr>
                    <w:top w:val="single" w:sz="2" w:space="0" w:color="D9D9E3"/>
                    <w:left w:val="single" w:sz="2" w:space="0" w:color="D9D9E3"/>
                    <w:bottom w:val="single" w:sz="2" w:space="0" w:color="D9D9E3"/>
                    <w:right w:val="single" w:sz="2" w:space="0" w:color="D9D9E3"/>
                  </w:divBdr>
                  <w:divsChild>
                    <w:div w:id="366493223">
                      <w:marLeft w:val="0"/>
                      <w:marRight w:val="0"/>
                      <w:marTop w:val="0"/>
                      <w:marBottom w:val="0"/>
                      <w:divBdr>
                        <w:top w:val="single" w:sz="2" w:space="0" w:color="D9D9E3"/>
                        <w:left w:val="single" w:sz="2" w:space="0" w:color="D9D9E3"/>
                        <w:bottom w:val="single" w:sz="2" w:space="0" w:color="D9D9E3"/>
                        <w:right w:val="single" w:sz="2" w:space="0" w:color="D9D9E3"/>
                      </w:divBdr>
                      <w:divsChild>
                        <w:div w:id="496114473">
                          <w:marLeft w:val="0"/>
                          <w:marRight w:val="0"/>
                          <w:marTop w:val="0"/>
                          <w:marBottom w:val="0"/>
                          <w:divBdr>
                            <w:top w:val="single" w:sz="2" w:space="0" w:color="D9D9E3"/>
                            <w:left w:val="single" w:sz="2" w:space="0" w:color="D9D9E3"/>
                            <w:bottom w:val="single" w:sz="2" w:space="0" w:color="D9D9E3"/>
                            <w:right w:val="single" w:sz="2" w:space="0" w:color="D9D9E3"/>
                          </w:divBdr>
                          <w:divsChild>
                            <w:div w:id="1053193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27676164">
                      <w:marLeft w:val="0"/>
                      <w:marRight w:val="0"/>
                      <w:marTop w:val="0"/>
                      <w:marBottom w:val="0"/>
                      <w:divBdr>
                        <w:top w:val="single" w:sz="2" w:space="0" w:color="D9D9E3"/>
                        <w:left w:val="single" w:sz="2" w:space="0" w:color="D9D9E3"/>
                        <w:bottom w:val="single" w:sz="2" w:space="0" w:color="D9D9E3"/>
                        <w:right w:val="single" w:sz="2" w:space="0" w:color="D9D9E3"/>
                      </w:divBdr>
                      <w:divsChild>
                        <w:div w:id="1666594966">
                          <w:marLeft w:val="0"/>
                          <w:marRight w:val="0"/>
                          <w:marTop w:val="0"/>
                          <w:marBottom w:val="0"/>
                          <w:divBdr>
                            <w:top w:val="single" w:sz="2" w:space="0" w:color="D9D9E3"/>
                            <w:left w:val="single" w:sz="2" w:space="0" w:color="D9D9E3"/>
                            <w:bottom w:val="single" w:sz="2" w:space="0" w:color="D9D9E3"/>
                            <w:right w:val="single" w:sz="2" w:space="0" w:color="D9D9E3"/>
                          </w:divBdr>
                          <w:divsChild>
                            <w:div w:id="1008755945">
                              <w:marLeft w:val="0"/>
                              <w:marRight w:val="0"/>
                              <w:marTop w:val="0"/>
                              <w:marBottom w:val="0"/>
                              <w:divBdr>
                                <w:top w:val="single" w:sz="2" w:space="0" w:color="D9D9E3"/>
                                <w:left w:val="single" w:sz="2" w:space="0" w:color="D9D9E3"/>
                                <w:bottom w:val="single" w:sz="2" w:space="0" w:color="D9D9E3"/>
                                <w:right w:val="single" w:sz="2" w:space="0" w:color="D9D9E3"/>
                              </w:divBdr>
                              <w:divsChild>
                                <w:div w:id="967972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3984746">
      <w:bodyDiv w:val="1"/>
      <w:marLeft w:val="0"/>
      <w:marRight w:val="0"/>
      <w:marTop w:val="0"/>
      <w:marBottom w:val="0"/>
      <w:divBdr>
        <w:top w:val="none" w:sz="0" w:space="0" w:color="auto"/>
        <w:left w:val="none" w:sz="0" w:space="0" w:color="auto"/>
        <w:bottom w:val="none" w:sz="0" w:space="0" w:color="auto"/>
        <w:right w:val="none" w:sz="0" w:space="0" w:color="auto"/>
      </w:divBdr>
      <w:divsChild>
        <w:div w:id="2024161269">
          <w:marLeft w:val="0"/>
          <w:marRight w:val="0"/>
          <w:marTop w:val="0"/>
          <w:marBottom w:val="0"/>
          <w:divBdr>
            <w:top w:val="single" w:sz="2" w:space="0" w:color="auto"/>
            <w:left w:val="single" w:sz="2" w:space="0" w:color="auto"/>
            <w:bottom w:val="single" w:sz="6" w:space="0" w:color="auto"/>
            <w:right w:val="single" w:sz="2" w:space="0" w:color="auto"/>
          </w:divBdr>
          <w:divsChild>
            <w:div w:id="1464612587">
              <w:marLeft w:val="0"/>
              <w:marRight w:val="0"/>
              <w:marTop w:val="100"/>
              <w:marBottom w:val="100"/>
              <w:divBdr>
                <w:top w:val="single" w:sz="2" w:space="0" w:color="D9D9E3"/>
                <w:left w:val="single" w:sz="2" w:space="0" w:color="D9D9E3"/>
                <w:bottom w:val="single" w:sz="2" w:space="0" w:color="D9D9E3"/>
                <w:right w:val="single" w:sz="2" w:space="0" w:color="D9D9E3"/>
              </w:divBdr>
              <w:divsChild>
                <w:div w:id="2042628683">
                  <w:marLeft w:val="0"/>
                  <w:marRight w:val="0"/>
                  <w:marTop w:val="0"/>
                  <w:marBottom w:val="0"/>
                  <w:divBdr>
                    <w:top w:val="single" w:sz="2" w:space="0" w:color="D9D9E3"/>
                    <w:left w:val="single" w:sz="2" w:space="0" w:color="D9D9E3"/>
                    <w:bottom w:val="single" w:sz="2" w:space="0" w:color="D9D9E3"/>
                    <w:right w:val="single" w:sz="2" w:space="0" w:color="D9D9E3"/>
                  </w:divBdr>
                  <w:divsChild>
                    <w:div w:id="1762680762">
                      <w:marLeft w:val="0"/>
                      <w:marRight w:val="0"/>
                      <w:marTop w:val="0"/>
                      <w:marBottom w:val="0"/>
                      <w:divBdr>
                        <w:top w:val="single" w:sz="2" w:space="0" w:color="D9D9E3"/>
                        <w:left w:val="single" w:sz="2" w:space="0" w:color="D9D9E3"/>
                        <w:bottom w:val="single" w:sz="2" w:space="0" w:color="D9D9E3"/>
                        <w:right w:val="single" w:sz="2" w:space="0" w:color="D9D9E3"/>
                      </w:divBdr>
                      <w:divsChild>
                        <w:div w:id="1236015232">
                          <w:marLeft w:val="0"/>
                          <w:marRight w:val="0"/>
                          <w:marTop w:val="0"/>
                          <w:marBottom w:val="0"/>
                          <w:divBdr>
                            <w:top w:val="single" w:sz="2" w:space="0" w:color="D9D9E3"/>
                            <w:left w:val="single" w:sz="2" w:space="0" w:color="D9D9E3"/>
                            <w:bottom w:val="single" w:sz="2" w:space="0" w:color="D9D9E3"/>
                            <w:right w:val="single" w:sz="2" w:space="0" w:color="D9D9E3"/>
                          </w:divBdr>
                          <w:divsChild>
                            <w:div w:id="1590507369">
                              <w:marLeft w:val="0"/>
                              <w:marRight w:val="0"/>
                              <w:marTop w:val="0"/>
                              <w:marBottom w:val="0"/>
                              <w:divBdr>
                                <w:top w:val="single" w:sz="2" w:space="0" w:color="D9D9E3"/>
                                <w:left w:val="single" w:sz="2" w:space="0" w:color="D9D9E3"/>
                                <w:bottom w:val="single" w:sz="2" w:space="0" w:color="D9D9E3"/>
                                <w:right w:val="single" w:sz="2" w:space="0" w:color="D9D9E3"/>
                              </w:divBdr>
                              <w:divsChild>
                                <w:div w:id="1548377737">
                                  <w:marLeft w:val="0"/>
                                  <w:marRight w:val="0"/>
                                  <w:marTop w:val="0"/>
                                  <w:marBottom w:val="0"/>
                                  <w:divBdr>
                                    <w:top w:val="single" w:sz="2" w:space="0" w:color="D9D9E3"/>
                                    <w:left w:val="single" w:sz="2" w:space="0" w:color="D9D9E3"/>
                                    <w:bottom w:val="single" w:sz="2" w:space="0" w:color="D9D9E3"/>
                                    <w:right w:val="single" w:sz="2" w:space="0" w:color="D9D9E3"/>
                                  </w:divBdr>
                                  <w:divsChild>
                                    <w:div w:id="611742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11834603">
      <w:bodyDiv w:val="1"/>
      <w:marLeft w:val="0"/>
      <w:marRight w:val="0"/>
      <w:marTop w:val="0"/>
      <w:marBottom w:val="0"/>
      <w:divBdr>
        <w:top w:val="none" w:sz="0" w:space="0" w:color="auto"/>
        <w:left w:val="none" w:sz="0" w:space="0" w:color="auto"/>
        <w:bottom w:val="none" w:sz="0" w:space="0" w:color="auto"/>
        <w:right w:val="none" w:sz="0" w:space="0" w:color="auto"/>
      </w:divBdr>
    </w:div>
    <w:div w:id="1480882089">
      <w:bodyDiv w:val="1"/>
      <w:marLeft w:val="0"/>
      <w:marRight w:val="0"/>
      <w:marTop w:val="0"/>
      <w:marBottom w:val="0"/>
      <w:divBdr>
        <w:top w:val="none" w:sz="0" w:space="0" w:color="auto"/>
        <w:left w:val="none" w:sz="0" w:space="0" w:color="auto"/>
        <w:bottom w:val="none" w:sz="0" w:space="0" w:color="auto"/>
        <w:right w:val="none" w:sz="0" w:space="0" w:color="auto"/>
      </w:divBdr>
      <w:divsChild>
        <w:div w:id="126242744">
          <w:marLeft w:val="0"/>
          <w:marRight w:val="0"/>
          <w:marTop w:val="0"/>
          <w:marBottom w:val="0"/>
          <w:divBdr>
            <w:top w:val="single" w:sz="2" w:space="0" w:color="auto"/>
            <w:left w:val="single" w:sz="2" w:space="0" w:color="auto"/>
            <w:bottom w:val="single" w:sz="6" w:space="0" w:color="auto"/>
            <w:right w:val="single" w:sz="2" w:space="0" w:color="auto"/>
          </w:divBdr>
          <w:divsChild>
            <w:div w:id="1096829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027369046">
                  <w:marLeft w:val="0"/>
                  <w:marRight w:val="0"/>
                  <w:marTop w:val="0"/>
                  <w:marBottom w:val="0"/>
                  <w:divBdr>
                    <w:top w:val="single" w:sz="2" w:space="0" w:color="D9D9E3"/>
                    <w:left w:val="single" w:sz="2" w:space="0" w:color="D9D9E3"/>
                    <w:bottom w:val="single" w:sz="2" w:space="0" w:color="D9D9E3"/>
                    <w:right w:val="single" w:sz="2" w:space="0" w:color="D9D9E3"/>
                  </w:divBdr>
                  <w:divsChild>
                    <w:div w:id="1913195442">
                      <w:marLeft w:val="0"/>
                      <w:marRight w:val="0"/>
                      <w:marTop w:val="0"/>
                      <w:marBottom w:val="0"/>
                      <w:divBdr>
                        <w:top w:val="single" w:sz="2" w:space="0" w:color="D9D9E3"/>
                        <w:left w:val="single" w:sz="2" w:space="0" w:color="D9D9E3"/>
                        <w:bottom w:val="single" w:sz="2" w:space="0" w:color="D9D9E3"/>
                        <w:right w:val="single" w:sz="2" w:space="0" w:color="D9D9E3"/>
                      </w:divBdr>
                      <w:divsChild>
                        <w:div w:id="1618828924">
                          <w:marLeft w:val="0"/>
                          <w:marRight w:val="0"/>
                          <w:marTop w:val="0"/>
                          <w:marBottom w:val="0"/>
                          <w:divBdr>
                            <w:top w:val="single" w:sz="2" w:space="0" w:color="D9D9E3"/>
                            <w:left w:val="single" w:sz="2" w:space="0" w:color="D9D9E3"/>
                            <w:bottom w:val="single" w:sz="2" w:space="0" w:color="D9D9E3"/>
                            <w:right w:val="single" w:sz="2" w:space="0" w:color="D9D9E3"/>
                          </w:divBdr>
                          <w:divsChild>
                            <w:div w:id="2007247167">
                              <w:marLeft w:val="0"/>
                              <w:marRight w:val="0"/>
                              <w:marTop w:val="0"/>
                              <w:marBottom w:val="0"/>
                              <w:divBdr>
                                <w:top w:val="single" w:sz="2" w:space="0" w:color="D9D9E3"/>
                                <w:left w:val="single" w:sz="2" w:space="0" w:color="D9D9E3"/>
                                <w:bottom w:val="single" w:sz="2" w:space="0" w:color="D9D9E3"/>
                                <w:right w:val="single" w:sz="2" w:space="0" w:color="D9D9E3"/>
                              </w:divBdr>
                              <w:divsChild>
                                <w:div w:id="1713577248">
                                  <w:marLeft w:val="0"/>
                                  <w:marRight w:val="0"/>
                                  <w:marTop w:val="0"/>
                                  <w:marBottom w:val="0"/>
                                  <w:divBdr>
                                    <w:top w:val="single" w:sz="2" w:space="0" w:color="D9D9E3"/>
                                    <w:left w:val="single" w:sz="2" w:space="0" w:color="D9D9E3"/>
                                    <w:bottom w:val="single" w:sz="2" w:space="0" w:color="D9D9E3"/>
                                    <w:right w:val="single" w:sz="2" w:space="0" w:color="D9D9E3"/>
                                  </w:divBdr>
                                  <w:divsChild>
                                    <w:div w:id="6321779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43711260">
      <w:bodyDiv w:val="1"/>
      <w:marLeft w:val="0"/>
      <w:marRight w:val="0"/>
      <w:marTop w:val="0"/>
      <w:marBottom w:val="0"/>
      <w:divBdr>
        <w:top w:val="none" w:sz="0" w:space="0" w:color="auto"/>
        <w:left w:val="none" w:sz="0" w:space="0" w:color="auto"/>
        <w:bottom w:val="none" w:sz="0" w:space="0" w:color="auto"/>
        <w:right w:val="none" w:sz="0" w:space="0" w:color="auto"/>
      </w:divBdr>
    </w:div>
    <w:div w:id="1589345487">
      <w:bodyDiv w:val="1"/>
      <w:marLeft w:val="0"/>
      <w:marRight w:val="0"/>
      <w:marTop w:val="0"/>
      <w:marBottom w:val="0"/>
      <w:divBdr>
        <w:top w:val="none" w:sz="0" w:space="0" w:color="auto"/>
        <w:left w:val="none" w:sz="0" w:space="0" w:color="auto"/>
        <w:bottom w:val="none" w:sz="0" w:space="0" w:color="auto"/>
        <w:right w:val="none" w:sz="0" w:space="0" w:color="auto"/>
      </w:divBdr>
    </w:div>
    <w:div w:id="1891964973">
      <w:bodyDiv w:val="1"/>
      <w:marLeft w:val="0"/>
      <w:marRight w:val="0"/>
      <w:marTop w:val="0"/>
      <w:marBottom w:val="0"/>
      <w:divBdr>
        <w:top w:val="none" w:sz="0" w:space="0" w:color="auto"/>
        <w:left w:val="none" w:sz="0" w:space="0" w:color="auto"/>
        <w:bottom w:val="none" w:sz="0" w:space="0" w:color="auto"/>
        <w:right w:val="none" w:sz="0" w:space="0" w:color="auto"/>
      </w:divBdr>
    </w:div>
    <w:div w:id="1956786956">
      <w:bodyDiv w:val="1"/>
      <w:marLeft w:val="0"/>
      <w:marRight w:val="0"/>
      <w:marTop w:val="0"/>
      <w:marBottom w:val="0"/>
      <w:divBdr>
        <w:top w:val="none" w:sz="0" w:space="0" w:color="auto"/>
        <w:left w:val="none" w:sz="0" w:space="0" w:color="auto"/>
        <w:bottom w:val="none" w:sz="0" w:space="0" w:color="auto"/>
        <w:right w:val="none" w:sz="0" w:space="0" w:color="auto"/>
      </w:divBdr>
    </w:div>
    <w:div w:id="20645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8C86-A0EB-41C8-9F8F-2988BC7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14852</Words>
  <Characters>84657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Nazirul Islam Sarker</dc:creator>
  <cp:keywords/>
  <dc:description/>
  <cp:lastModifiedBy>Md Nazirul Islam Sarker</cp:lastModifiedBy>
  <cp:revision>2</cp:revision>
  <dcterms:created xsi:type="dcterms:W3CDTF">2023-10-21T13:10:00Z</dcterms:created>
  <dcterms:modified xsi:type="dcterms:W3CDTF">2023-10-21T13:10:00Z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http://www.zotero.org/styles/bmc-public-health</vt:lpwstr>
  </property>
  <property fmtid="{D5CDD505-2E9C-101B-9397-08002B2CF9AE}" pid="7" name="Mendeley Recent Style Name 2_1">
    <vt:lpwstr>BMC Public Health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http://www.zotero.org/styles/environment-development-and-sustainability</vt:lpwstr>
  </property>
  <property fmtid="{D5CDD505-2E9C-101B-9397-08002B2CF9AE}" pid="11" name="Mendeley Recent Style Name 4_1">
    <vt:lpwstr>Environment, Development and Sustainability</vt:lpwstr>
  </property>
  <property fmtid="{D5CDD505-2E9C-101B-9397-08002B2CF9AE}" pid="12" name="Mendeley Recent Style Id 5_1">
    <vt:lpwstr>http://www.zotero.org/styles/environmental-science-and-pollution-research</vt:lpwstr>
  </property>
  <property fmtid="{D5CDD505-2E9C-101B-9397-08002B2CF9AE}" pid="13" name="Mendeley Recent Style Name 5_1">
    <vt:lpwstr>Environmental Science and Pollution Research</vt:lpwstr>
  </property>
  <property fmtid="{D5CDD505-2E9C-101B-9397-08002B2CF9AE}" pid="14" name="Mendeley Recent Style Id 6_1">
    <vt:lpwstr>http://www.zotero.org/styles/heliyon</vt:lpwstr>
  </property>
  <property fmtid="{D5CDD505-2E9C-101B-9397-08002B2CF9AE}" pid="15" name="Mendeley Recent Style Name 6_1">
    <vt:lpwstr>Heliyon</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http://www.zotero.org/styles/international-journal-of-educational-development</vt:lpwstr>
  </property>
  <property fmtid="{D5CDD505-2E9C-101B-9397-08002B2CF9AE}" pid="19" name="Mendeley Recent Style Name 8_1">
    <vt:lpwstr>International Journal of Educational Development</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00fcf3a5-79a1-33d3-8417-9c2fa923e456</vt:lpwstr>
  </property>
  <property fmtid="{D5CDD505-2E9C-101B-9397-08002B2CF9AE}" pid="24" name="Mendeley Citation Style_1">
    <vt:lpwstr>http://www.zotero.org/styles/bmc-public-health</vt:lpwstr>
  </property>
</Properties>
</file>