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17EFB2" w14:textId="2C7BBF28" w:rsidR="004015BD" w:rsidRPr="0028074F" w:rsidRDefault="007A41A4">
      <w:pPr>
        <w:rPr>
          <w:rFonts w:cstheme="minorHAnsi"/>
          <w:b/>
          <w:bCs/>
          <w:sz w:val="24"/>
          <w:szCs w:val="24"/>
          <w:lang w:val="en-GB"/>
        </w:rPr>
      </w:pPr>
      <w:r w:rsidRPr="0028074F">
        <w:rPr>
          <w:rFonts w:cstheme="minorHAnsi"/>
          <w:b/>
          <w:bCs/>
          <w:sz w:val="24"/>
          <w:szCs w:val="24"/>
          <w:lang w:val="en-GB"/>
        </w:rPr>
        <w:t>Supplementary Material</w:t>
      </w:r>
    </w:p>
    <w:p w14:paraId="4BD96C74" w14:textId="189021E0" w:rsidR="00A26C00" w:rsidRPr="0028074F" w:rsidRDefault="00A26C00">
      <w:pPr>
        <w:rPr>
          <w:rFonts w:cstheme="minorHAnsi"/>
          <w:sz w:val="24"/>
          <w:szCs w:val="24"/>
          <w:u w:val="single"/>
          <w:lang w:val="en-GB"/>
        </w:rPr>
      </w:pPr>
      <w:r w:rsidRPr="0028074F">
        <w:rPr>
          <w:rFonts w:cstheme="minorHAnsi"/>
          <w:sz w:val="24"/>
          <w:szCs w:val="24"/>
          <w:u w:val="single"/>
          <w:lang w:val="en-GB"/>
        </w:rPr>
        <w:t>Concomitant pharmacotherapies</w:t>
      </w:r>
    </w:p>
    <w:p w14:paraId="58E6A984" w14:textId="77777777" w:rsidR="00A26C00" w:rsidRPr="0028074F" w:rsidRDefault="00A26C00" w:rsidP="00A26C00">
      <w:pPr>
        <w:rPr>
          <w:rFonts w:cstheme="minorHAnsi"/>
          <w:sz w:val="24"/>
          <w:szCs w:val="24"/>
          <w:lang w:val="en-US"/>
        </w:rPr>
      </w:pPr>
      <w:r w:rsidRPr="0028074F">
        <w:rPr>
          <w:rFonts w:cstheme="minorHAnsi"/>
          <w:sz w:val="24"/>
          <w:szCs w:val="24"/>
          <w:lang w:val="en-US"/>
        </w:rPr>
        <w:t xml:space="preserve">The following concomitant therapy that interferes with the treatment evaluation of the Investigational Medicinal Product (IMP) is </w:t>
      </w:r>
      <w:r w:rsidRPr="0028074F">
        <w:rPr>
          <w:rFonts w:cstheme="minorHAnsi"/>
          <w:sz w:val="24"/>
          <w:szCs w:val="24"/>
          <w:u w:val="single"/>
          <w:lang w:val="en-US"/>
        </w:rPr>
        <w:t>not</w:t>
      </w:r>
      <w:r w:rsidRPr="0028074F">
        <w:rPr>
          <w:rFonts w:cstheme="minorHAnsi"/>
          <w:sz w:val="24"/>
          <w:szCs w:val="24"/>
          <w:lang w:val="en-US"/>
        </w:rPr>
        <w:t xml:space="preserve"> permitted: </w:t>
      </w:r>
    </w:p>
    <w:p w14:paraId="2402182D" w14:textId="77777777" w:rsidR="00A26C00" w:rsidRPr="0028074F" w:rsidRDefault="00A26C00" w:rsidP="00A26C00">
      <w:pPr>
        <w:rPr>
          <w:rFonts w:cstheme="minorHAnsi"/>
          <w:sz w:val="24"/>
          <w:szCs w:val="24"/>
          <w:lang w:val="en-US"/>
        </w:rPr>
      </w:pPr>
      <w:r w:rsidRPr="0028074F">
        <w:rPr>
          <w:rFonts w:cstheme="minorHAnsi"/>
          <w:sz w:val="24"/>
          <w:szCs w:val="24"/>
          <w:lang w:val="en-US"/>
        </w:rPr>
        <w:t xml:space="preserve">(1) Cannabis-based medicine </w:t>
      </w:r>
    </w:p>
    <w:p w14:paraId="7F664D69" w14:textId="77777777" w:rsidR="00A26C00" w:rsidRPr="0028074F" w:rsidRDefault="00A26C00" w:rsidP="00A26C00">
      <w:pPr>
        <w:rPr>
          <w:rFonts w:cstheme="minorHAnsi"/>
          <w:sz w:val="24"/>
          <w:szCs w:val="24"/>
          <w:lang w:val="en-US"/>
        </w:rPr>
      </w:pPr>
      <w:r w:rsidRPr="0028074F">
        <w:rPr>
          <w:rFonts w:cstheme="minorHAnsi"/>
          <w:sz w:val="24"/>
          <w:szCs w:val="24"/>
          <w:lang w:val="en-US"/>
        </w:rPr>
        <w:t>Dronabinol or other cannabis-based medicine is not permitted during the trial or within 3 months prior to screening. The intake of such medication has to be clarified with the patient in an interview. In addition, drug abuse screening test is performed. The investigator may not apply such medication during the course of the trial and has to inform the patient that it is not allowed during the trial.</w:t>
      </w:r>
    </w:p>
    <w:p w14:paraId="12B4B7E6" w14:textId="77777777" w:rsidR="00A26C00" w:rsidRPr="0028074F" w:rsidRDefault="00A26C00" w:rsidP="00A26C00">
      <w:pPr>
        <w:rPr>
          <w:rFonts w:cstheme="minorHAnsi"/>
          <w:sz w:val="24"/>
          <w:szCs w:val="24"/>
          <w:lang w:val="en-US"/>
        </w:rPr>
      </w:pPr>
      <w:r w:rsidRPr="0028074F">
        <w:rPr>
          <w:rFonts w:cstheme="minorHAnsi"/>
          <w:sz w:val="24"/>
          <w:szCs w:val="24"/>
          <w:lang w:val="en-US"/>
        </w:rPr>
        <w:t xml:space="preserve">(2) Cannabis herb </w:t>
      </w:r>
    </w:p>
    <w:p w14:paraId="39FFA4AF" w14:textId="77777777" w:rsidR="00A26C00" w:rsidRPr="0028074F" w:rsidRDefault="00A26C00" w:rsidP="00A26C00">
      <w:pPr>
        <w:rPr>
          <w:rFonts w:cstheme="minorHAnsi"/>
          <w:sz w:val="24"/>
          <w:szCs w:val="24"/>
          <w:lang w:val="en-US"/>
        </w:rPr>
      </w:pPr>
      <w:r w:rsidRPr="0028074F">
        <w:rPr>
          <w:rFonts w:cstheme="minorHAnsi"/>
          <w:sz w:val="24"/>
          <w:szCs w:val="24"/>
          <w:lang w:val="en-US"/>
        </w:rPr>
        <w:t>Consumption of cannabis herb/marijuana is not permitted during the trial or within 3 months prior to screening. The consumption has to be clarified with the patient in an interview. In addition, drug screening test is performed at screening. The investigator should inform the patient that the consumption is not allowed during the trial.</w:t>
      </w:r>
    </w:p>
    <w:p w14:paraId="1F5D94E9" w14:textId="77777777" w:rsidR="00A26C00" w:rsidRPr="0028074F" w:rsidRDefault="00A26C00" w:rsidP="00A26C00">
      <w:pPr>
        <w:rPr>
          <w:rFonts w:cstheme="minorHAnsi"/>
          <w:sz w:val="24"/>
          <w:szCs w:val="24"/>
          <w:lang w:val="en-US"/>
        </w:rPr>
      </w:pPr>
      <w:r w:rsidRPr="0028074F">
        <w:rPr>
          <w:rFonts w:cstheme="minorHAnsi"/>
          <w:sz w:val="24"/>
          <w:szCs w:val="24"/>
          <w:lang w:val="en-US"/>
        </w:rPr>
        <w:t>(3) Sleep medication</w:t>
      </w:r>
    </w:p>
    <w:p w14:paraId="224E3215" w14:textId="77777777" w:rsidR="00975E6A" w:rsidRPr="0028074F" w:rsidRDefault="00A26C00" w:rsidP="000937BA">
      <w:pPr>
        <w:spacing w:after="0"/>
        <w:rPr>
          <w:rFonts w:cstheme="minorHAnsi"/>
          <w:sz w:val="24"/>
          <w:szCs w:val="24"/>
          <w:lang w:val="en-US"/>
        </w:rPr>
      </w:pPr>
      <w:r w:rsidRPr="0028074F">
        <w:rPr>
          <w:rFonts w:cstheme="minorHAnsi"/>
          <w:sz w:val="24"/>
          <w:szCs w:val="24"/>
          <w:lang w:val="en-US"/>
        </w:rPr>
        <w:t>Sleep medication that has been initiated 4 or more weeks before screening can be continued at stable dose during the trial</w:t>
      </w:r>
      <w:r w:rsidR="00975E6A" w:rsidRPr="0028074F">
        <w:rPr>
          <w:rFonts w:cstheme="minorHAnsi"/>
          <w:sz w:val="24"/>
          <w:szCs w:val="24"/>
          <w:lang w:val="en-US"/>
        </w:rPr>
        <w:t>.</w:t>
      </w:r>
      <w:r w:rsidRPr="0028074F">
        <w:rPr>
          <w:rFonts w:cstheme="minorHAnsi"/>
          <w:sz w:val="24"/>
          <w:szCs w:val="24"/>
          <w:lang w:val="en-US"/>
        </w:rPr>
        <w:t xml:space="preserve"> </w:t>
      </w:r>
    </w:p>
    <w:p w14:paraId="2F1C161C" w14:textId="77FF9042" w:rsidR="00A26C00" w:rsidRPr="0028074F" w:rsidRDefault="00A26C00" w:rsidP="000937BA">
      <w:pPr>
        <w:spacing w:after="0"/>
        <w:rPr>
          <w:rFonts w:cstheme="minorHAnsi"/>
          <w:sz w:val="24"/>
          <w:szCs w:val="24"/>
          <w:lang w:val="en-US"/>
        </w:rPr>
      </w:pPr>
      <w:r w:rsidRPr="0028074F">
        <w:rPr>
          <w:rFonts w:cstheme="minorHAnsi"/>
          <w:sz w:val="24"/>
          <w:szCs w:val="24"/>
          <w:lang w:val="en-US"/>
        </w:rPr>
        <w:t xml:space="preserve">Initiation of sleep medication 4 weeks prior screening and during the trial is not allowed. I.e., initiation of all benzodiazepines, non-benzodiazepines and other sleep medication are not allowed 4 weeks prior to screening and during the trial. </w:t>
      </w:r>
    </w:p>
    <w:p w14:paraId="6388EE96" w14:textId="77777777" w:rsidR="00A26C00" w:rsidRPr="0028074F" w:rsidRDefault="00A26C00" w:rsidP="00A26C00">
      <w:pPr>
        <w:rPr>
          <w:rFonts w:cstheme="minorHAnsi"/>
          <w:sz w:val="24"/>
          <w:szCs w:val="24"/>
          <w:lang w:val="en-US"/>
        </w:rPr>
      </w:pPr>
      <w:r w:rsidRPr="0028074F">
        <w:rPr>
          <w:rFonts w:cstheme="minorHAnsi"/>
          <w:sz w:val="24"/>
          <w:szCs w:val="24"/>
          <w:lang w:val="en-US"/>
        </w:rPr>
        <w:t>As examples the following active ingredients (not trade names) are considered as non-benzodiazepines and other sleep medication. Please note that this list is not extensive:</w:t>
      </w:r>
    </w:p>
    <w:p w14:paraId="1735D619" w14:textId="77777777" w:rsidR="00A26C00" w:rsidRPr="0028074F" w:rsidRDefault="00A26C00" w:rsidP="00A26C00">
      <w:pPr>
        <w:rPr>
          <w:rFonts w:cstheme="minorHAnsi"/>
          <w:sz w:val="24"/>
          <w:szCs w:val="24"/>
          <w:lang w:val="en-US"/>
        </w:rPr>
      </w:pPr>
      <w:r w:rsidRPr="0028074F">
        <w:rPr>
          <w:rFonts w:cstheme="minorHAnsi"/>
          <w:sz w:val="24"/>
          <w:szCs w:val="24"/>
          <w:lang w:val="en-US"/>
        </w:rPr>
        <w:t>-</w:t>
      </w:r>
      <w:r w:rsidRPr="0028074F">
        <w:rPr>
          <w:rFonts w:cstheme="minorHAnsi"/>
          <w:sz w:val="24"/>
          <w:szCs w:val="24"/>
          <w:lang w:val="en-US"/>
        </w:rPr>
        <w:tab/>
        <w:t xml:space="preserve">All benzodiazepines </w:t>
      </w:r>
    </w:p>
    <w:p w14:paraId="07633C40" w14:textId="77777777" w:rsidR="00A26C00" w:rsidRPr="0028074F" w:rsidRDefault="00A26C00" w:rsidP="00A26C00">
      <w:pPr>
        <w:rPr>
          <w:rFonts w:cstheme="minorHAnsi"/>
          <w:sz w:val="24"/>
          <w:szCs w:val="24"/>
          <w:lang w:val="en-US"/>
        </w:rPr>
      </w:pPr>
      <w:r w:rsidRPr="0028074F">
        <w:rPr>
          <w:rFonts w:cstheme="minorHAnsi"/>
          <w:sz w:val="24"/>
          <w:szCs w:val="24"/>
          <w:lang w:val="en-US"/>
        </w:rPr>
        <w:t>-</w:t>
      </w:r>
      <w:r w:rsidRPr="0028074F">
        <w:rPr>
          <w:rFonts w:cstheme="minorHAnsi"/>
          <w:sz w:val="24"/>
          <w:szCs w:val="24"/>
          <w:lang w:val="en-US"/>
        </w:rPr>
        <w:tab/>
        <w:t xml:space="preserve">Non-benzodiazepines: zaleplon, zolpidem, zopiclon, </w:t>
      </w:r>
    </w:p>
    <w:p w14:paraId="050B1B73" w14:textId="77777777" w:rsidR="00A26C00" w:rsidRPr="0028074F" w:rsidRDefault="00A26C00" w:rsidP="000937BA">
      <w:pPr>
        <w:ind w:left="705" w:hanging="705"/>
        <w:rPr>
          <w:rFonts w:cstheme="minorHAnsi"/>
          <w:sz w:val="24"/>
          <w:szCs w:val="24"/>
          <w:lang w:val="en-US"/>
        </w:rPr>
      </w:pPr>
      <w:r w:rsidRPr="0028074F">
        <w:rPr>
          <w:rFonts w:cstheme="minorHAnsi"/>
          <w:sz w:val="24"/>
          <w:szCs w:val="24"/>
          <w:lang w:val="en-US"/>
        </w:rPr>
        <w:t>-</w:t>
      </w:r>
      <w:r w:rsidRPr="0028074F">
        <w:rPr>
          <w:rFonts w:cstheme="minorHAnsi"/>
          <w:sz w:val="24"/>
          <w:szCs w:val="24"/>
          <w:lang w:val="en-US"/>
        </w:rPr>
        <w:tab/>
        <w:t xml:space="preserve">Other sleep medication: Chloralhydate, Melatonine, Antihistaminergic agents (diphenhydramine, doxylamine, promethazine), mirtazapine, trazodone, trimipramine, doxepin, pipamperon, melperon) </w:t>
      </w:r>
    </w:p>
    <w:p w14:paraId="1628C719" w14:textId="77777777" w:rsidR="00A26C00" w:rsidRPr="0028074F" w:rsidRDefault="00A26C00" w:rsidP="00A26C00">
      <w:pPr>
        <w:rPr>
          <w:rFonts w:cstheme="minorHAnsi"/>
          <w:sz w:val="24"/>
          <w:szCs w:val="24"/>
          <w:lang w:val="en-US"/>
        </w:rPr>
      </w:pPr>
      <w:r w:rsidRPr="0028074F">
        <w:rPr>
          <w:rFonts w:cstheme="minorHAnsi"/>
          <w:sz w:val="24"/>
          <w:szCs w:val="24"/>
          <w:lang w:val="en-US"/>
        </w:rPr>
        <w:t xml:space="preserve">(4) Alpha adrenergic agents (where some evidence of effect on nightmares in PTSD patients has been shown) </w:t>
      </w:r>
    </w:p>
    <w:p w14:paraId="356AC607" w14:textId="77777777" w:rsidR="00A26C00" w:rsidRPr="0028074F" w:rsidRDefault="00A26C00" w:rsidP="000937BA">
      <w:pPr>
        <w:spacing w:after="0"/>
        <w:rPr>
          <w:rFonts w:cstheme="minorHAnsi"/>
          <w:sz w:val="24"/>
          <w:szCs w:val="24"/>
          <w:lang w:val="en-US"/>
        </w:rPr>
      </w:pPr>
      <w:r w:rsidRPr="0028074F">
        <w:rPr>
          <w:rFonts w:cstheme="minorHAnsi"/>
          <w:sz w:val="24"/>
          <w:szCs w:val="24"/>
          <w:lang w:val="en-US"/>
        </w:rPr>
        <w:t>Alpha adrenergic agents that has been initiated 4 or more weeks before screening can be continued at stable dose during the trial.</w:t>
      </w:r>
    </w:p>
    <w:p w14:paraId="5C3BBA01" w14:textId="77777777" w:rsidR="00A26C00" w:rsidRPr="0028074F" w:rsidRDefault="00A26C00" w:rsidP="000937BA">
      <w:pPr>
        <w:spacing w:after="0"/>
        <w:rPr>
          <w:rFonts w:cstheme="minorHAnsi"/>
          <w:sz w:val="24"/>
          <w:szCs w:val="24"/>
          <w:lang w:val="en-US"/>
        </w:rPr>
      </w:pPr>
      <w:r w:rsidRPr="0028074F">
        <w:rPr>
          <w:rFonts w:cstheme="minorHAnsi"/>
          <w:sz w:val="24"/>
          <w:szCs w:val="24"/>
          <w:lang w:val="en-US"/>
        </w:rPr>
        <w:t xml:space="preserve">Initiation of alpha adrenergic agents 4 weeks prior screening and during the trial is not allowed. </w:t>
      </w:r>
    </w:p>
    <w:p w14:paraId="7A5BB2CB" w14:textId="77777777" w:rsidR="00A26C00" w:rsidRPr="0028074F" w:rsidRDefault="00A26C00" w:rsidP="00A26C00">
      <w:pPr>
        <w:rPr>
          <w:rFonts w:cstheme="minorHAnsi"/>
          <w:sz w:val="24"/>
          <w:szCs w:val="24"/>
          <w:lang w:val="en-US"/>
        </w:rPr>
      </w:pPr>
      <w:r w:rsidRPr="0028074F">
        <w:rPr>
          <w:rFonts w:cstheme="minorHAnsi"/>
          <w:sz w:val="24"/>
          <w:szCs w:val="24"/>
          <w:lang w:val="en-US"/>
        </w:rPr>
        <w:t>As examples the following active ingredients (not trade names) are considered as alpha or beta adrenergic agents. Please note that this list is not extensive:</w:t>
      </w:r>
    </w:p>
    <w:p w14:paraId="2AE70E4F" w14:textId="77777777" w:rsidR="00A26C00" w:rsidRPr="0028074F" w:rsidRDefault="00A26C00" w:rsidP="00A26C00">
      <w:pPr>
        <w:rPr>
          <w:rFonts w:cstheme="minorHAnsi"/>
          <w:sz w:val="24"/>
          <w:szCs w:val="24"/>
          <w:lang w:val="en-US"/>
        </w:rPr>
      </w:pPr>
      <w:r w:rsidRPr="0028074F">
        <w:rPr>
          <w:rFonts w:cstheme="minorHAnsi"/>
          <w:sz w:val="24"/>
          <w:szCs w:val="24"/>
          <w:lang w:val="en-US"/>
        </w:rPr>
        <w:t>-</w:t>
      </w:r>
      <w:r w:rsidRPr="0028074F">
        <w:rPr>
          <w:rFonts w:cstheme="minorHAnsi"/>
          <w:sz w:val="24"/>
          <w:szCs w:val="24"/>
          <w:lang w:val="en-US"/>
        </w:rPr>
        <w:tab/>
        <w:t>Doxazosin, prazosin, terazosin, clonidine</w:t>
      </w:r>
    </w:p>
    <w:p w14:paraId="00C3177A" w14:textId="77777777" w:rsidR="006D7733" w:rsidRPr="0028074F" w:rsidRDefault="006D7733" w:rsidP="006D7733">
      <w:pPr>
        <w:jc w:val="both"/>
        <w:rPr>
          <w:rFonts w:cstheme="minorHAnsi"/>
          <w:sz w:val="24"/>
          <w:szCs w:val="24"/>
          <w:u w:val="single"/>
          <w:lang w:val="en-US"/>
        </w:rPr>
      </w:pPr>
      <w:r w:rsidRPr="0028074F">
        <w:rPr>
          <w:rFonts w:cstheme="minorHAnsi"/>
          <w:sz w:val="24"/>
          <w:szCs w:val="24"/>
          <w:u w:val="single"/>
          <w:lang w:val="en-US"/>
        </w:rPr>
        <w:lastRenderedPageBreak/>
        <w:t>Monitoring</w:t>
      </w:r>
    </w:p>
    <w:p w14:paraId="57685B4A" w14:textId="77777777" w:rsidR="006D7733" w:rsidRPr="0028074F" w:rsidRDefault="006D7733" w:rsidP="006D7733">
      <w:pPr>
        <w:pStyle w:val="Beispieltext"/>
        <w:spacing w:after="0" w:line="240" w:lineRule="auto"/>
        <w:jc w:val="both"/>
        <w:rPr>
          <w:rFonts w:asciiTheme="minorHAnsi" w:hAnsiTheme="minorHAnsi" w:cstheme="minorHAnsi"/>
          <w:i w:val="0"/>
          <w:iCs w:val="0"/>
          <w:color w:val="000000"/>
          <w:sz w:val="24"/>
          <w:szCs w:val="24"/>
          <w:u w:color="000000"/>
          <w:lang w:val="en-US"/>
        </w:rPr>
      </w:pPr>
      <w:r w:rsidRPr="0028074F">
        <w:rPr>
          <w:rFonts w:asciiTheme="minorHAnsi" w:hAnsiTheme="minorHAnsi" w:cstheme="minorHAnsi"/>
          <w:i w:val="0"/>
          <w:iCs w:val="0"/>
          <w:color w:val="000000"/>
          <w:sz w:val="24"/>
          <w:szCs w:val="24"/>
          <w:u w:color="000000"/>
          <w:lang w:val="en-US"/>
        </w:rPr>
        <w:t>The trial site will be monitored by Clinical Trial Office (CTO) Charité to ensure the quality of the data collected. The objectives of the monitoring procedures are to ensure that the trial subject’s safety and rights as a study participant are respected, that accurate, valid and complete data are collected, and that the trial is conducted in accordance with the trial protocol, the principles of GCP and local legislation.</w:t>
      </w:r>
    </w:p>
    <w:p w14:paraId="59831A06" w14:textId="77777777" w:rsidR="006D7733" w:rsidRPr="0028074F" w:rsidRDefault="006D7733" w:rsidP="006D7733">
      <w:pPr>
        <w:pStyle w:val="Beispieltext"/>
        <w:spacing w:after="0" w:line="240" w:lineRule="auto"/>
        <w:jc w:val="both"/>
        <w:rPr>
          <w:rFonts w:asciiTheme="minorHAnsi" w:hAnsiTheme="minorHAnsi" w:cstheme="minorHAnsi"/>
          <w:i w:val="0"/>
          <w:iCs w:val="0"/>
          <w:color w:val="000000"/>
          <w:sz w:val="24"/>
          <w:szCs w:val="24"/>
          <w:u w:color="000000"/>
          <w:lang w:val="en-US"/>
        </w:rPr>
      </w:pPr>
      <w:r w:rsidRPr="0028074F">
        <w:rPr>
          <w:rFonts w:asciiTheme="minorHAnsi" w:hAnsiTheme="minorHAnsi" w:cstheme="minorHAnsi"/>
          <w:i w:val="0"/>
          <w:iCs w:val="0"/>
          <w:color w:val="000000"/>
          <w:sz w:val="24"/>
          <w:szCs w:val="24"/>
          <w:u w:color="000000"/>
          <w:lang w:val="en-US"/>
        </w:rPr>
        <w:t>All investigators agree that the monitor regularly visits the trial site and assure that the monitor will receive appropriate support in his activities at the trial site.</w:t>
      </w:r>
    </w:p>
    <w:p w14:paraId="158A2BF4" w14:textId="77777777" w:rsidR="006D7733" w:rsidRPr="0028074F" w:rsidRDefault="006D7733" w:rsidP="006D7733">
      <w:pPr>
        <w:pStyle w:val="Beispieltext"/>
        <w:spacing w:after="0" w:line="240" w:lineRule="auto"/>
        <w:jc w:val="both"/>
        <w:rPr>
          <w:rFonts w:asciiTheme="minorHAnsi" w:hAnsiTheme="minorHAnsi" w:cstheme="minorHAnsi"/>
          <w:i w:val="0"/>
          <w:iCs w:val="0"/>
          <w:color w:val="000000"/>
          <w:sz w:val="24"/>
          <w:szCs w:val="24"/>
          <w:u w:color="000000"/>
          <w:lang w:val="en-US"/>
        </w:rPr>
      </w:pPr>
      <w:r w:rsidRPr="0028074F">
        <w:rPr>
          <w:rFonts w:asciiTheme="minorHAnsi" w:hAnsiTheme="minorHAnsi" w:cstheme="minorHAnsi"/>
          <w:i w:val="0"/>
          <w:iCs w:val="0"/>
          <w:color w:val="000000"/>
          <w:sz w:val="24"/>
          <w:szCs w:val="24"/>
          <w:u w:color="000000"/>
          <w:lang w:val="en-US"/>
        </w:rPr>
        <w:t>The declaration of informed consent includes a statement to the effect that the monitor has the right – while observing the provisions of data protection legislation – to compare the case report forms (eCRFs) with the trial subject’s medical records (doctor’s notes, ECGs, laboratory printouts etc.). The investigator will secure access for the monitor to all necessary documentation for trial-related monitoring. The aims of the monitoring visits are as follows:</w:t>
      </w:r>
    </w:p>
    <w:p w14:paraId="70C4E5F6" w14:textId="77777777" w:rsidR="006D7733" w:rsidRPr="0028074F" w:rsidRDefault="006D7733" w:rsidP="006D7733">
      <w:pPr>
        <w:pStyle w:val="Body"/>
        <w:jc w:val="both"/>
        <w:rPr>
          <w:rFonts w:asciiTheme="minorHAnsi" w:hAnsiTheme="minorHAnsi" w:cstheme="minorHAnsi"/>
        </w:rPr>
      </w:pPr>
    </w:p>
    <w:p w14:paraId="4CB702A8" w14:textId="77777777" w:rsidR="006D7733" w:rsidRPr="0028074F" w:rsidRDefault="006D7733" w:rsidP="006D7733">
      <w:pPr>
        <w:pStyle w:val="Beispieltext"/>
        <w:numPr>
          <w:ilvl w:val="0"/>
          <w:numId w:val="3"/>
        </w:numPr>
        <w:tabs>
          <w:tab w:val="num" w:pos="714"/>
        </w:tabs>
        <w:spacing w:after="0" w:line="240" w:lineRule="auto"/>
        <w:ind w:left="714" w:hanging="357"/>
        <w:jc w:val="both"/>
        <w:rPr>
          <w:rFonts w:asciiTheme="minorHAnsi" w:hAnsiTheme="minorHAnsi" w:cstheme="minorHAnsi"/>
          <w:i w:val="0"/>
          <w:iCs w:val="0"/>
          <w:color w:val="000000"/>
          <w:sz w:val="24"/>
          <w:szCs w:val="24"/>
          <w:u w:color="000000"/>
          <w:lang w:val="en-US"/>
        </w:rPr>
      </w:pPr>
      <w:r w:rsidRPr="0028074F">
        <w:rPr>
          <w:rFonts w:asciiTheme="minorHAnsi" w:hAnsiTheme="minorHAnsi" w:cstheme="minorHAnsi"/>
          <w:i w:val="0"/>
          <w:iCs w:val="0"/>
          <w:color w:val="000000"/>
          <w:sz w:val="24"/>
          <w:szCs w:val="24"/>
          <w:u w:color="000000"/>
          <w:lang w:val="en-US"/>
        </w:rPr>
        <w:t>To check the declarations of informed consent.</w:t>
      </w:r>
    </w:p>
    <w:p w14:paraId="23EDBD47" w14:textId="77777777" w:rsidR="006D7733" w:rsidRPr="0028074F" w:rsidRDefault="006D7733" w:rsidP="006D7733">
      <w:pPr>
        <w:pStyle w:val="Beispieltext"/>
        <w:numPr>
          <w:ilvl w:val="0"/>
          <w:numId w:val="4"/>
        </w:numPr>
        <w:tabs>
          <w:tab w:val="num" w:pos="714"/>
        </w:tabs>
        <w:spacing w:after="0" w:line="240" w:lineRule="auto"/>
        <w:ind w:left="714" w:hanging="357"/>
        <w:jc w:val="both"/>
        <w:rPr>
          <w:rFonts w:asciiTheme="minorHAnsi" w:hAnsiTheme="minorHAnsi" w:cstheme="minorHAnsi"/>
          <w:i w:val="0"/>
          <w:iCs w:val="0"/>
          <w:color w:val="000000"/>
          <w:sz w:val="24"/>
          <w:szCs w:val="24"/>
          <w:u w:color="000000"/>
          <w:lang w:val="en-US"/>
        </w:rPr>
      </w:pPr>
      <w:r w:rsidRPr="0028074F">
        <w:rPr>
          <w:rFonts w:asciiTheme="minorHAnsi" w:hAnsiTheme="minorHAnsi" w:cstheme="minorHAnsi"/>
          <w:i w:val="0"/>
          <w:iCs w:val="0"/>
          <w:color w:val="000000"/>
          <w:sz w:val="24"/>
          <w:szCs w:val="24"/>
          <w:u w:color="000000"/>
          <w:lang w:val="en-US"/>
        </w:rPr>
        <w:t>To monitor trial subject safety (occurrence and documentation/reporting of AEs and SAEs).</w:t>
      </w:r>
    </w:p>
    <w:p w14:paraId="728302E3" w14:textId="77777777" w:rsidR="006D7733" w:rsidRPr="0028074F" w:rsidRDefault="006D7733" w:rsidP="006D7733">
      <w:pPr>
        <w:pStyle w:val="Beispieltext"/>
        <w:numPr>
          <w:ilvl w:val="0"/>
          <w:numId w:val="5"/>
        </w:numPr>
        <w:tabs>
          <w:tab w:val="num" w:pos="714"/>
        </w:tabs>
        <w:spacing w:after="0" w:line="240" w:lineRule="auto"/>
        <w:ind w:left="714" w:hanging="357"/>
        <w:jc w:val="both"/>
        <w:rPr>
          <w:rFonts w:asciiTheme="minorHAnsi" w:hAnsiTheme="minorHAnsi" w:cstheme="minorHAnsi"/>
          <w:i w:val="0"/>
          <w:iCs w:val="0"/>
          <w:color w:val="000000"/>
          <w:sz w:val="24"/>
          <w:szCs w:val="24"/>
          <w:u w:color="000000"/>
          <w:lang w:val="en-US"/>
        </w:rPr>
      </w:pPr>
      <w:r w:rsidRPr="0028074F">
        <w:rPr>
          <w:rFonts w:asciiTheme="minorHAnsi" w:hAnsiTheme="minorHAnsi" w:cstheme="minorHAnsi"/>
          <w:i w:val="0"/>
          <w:iCs w:val="0"/>
          <w:color w:val="000000"/>
          <w:sz w:val="24"/>
          <w:szCs w:val="24"/>
          <w:u w:color="000000"/>
          <w:lang w:val="en-US"/>
        </w:rPr>
        <w:t>To check the completeness and accuracy of entries on the eCRF.</w:t>
      </w:r>
    </w:p>
    <w:p w14:paraId="2712C437" w14:textId="77777777" w:rsidR="006D7733" w:rsidRPr="0028074F" w:rsidRDefault="006D7733" w:rsidP="006D7733">
      <w:pPr>
        <w:pStyle w:val="Beispieltext"/>
        <w:numPr>
          <w:ilvl w:val="0"/>
          <w:numId w:val="6"/>
        </w:numPr>
        <w:tabs>
          <w:tab w:val="num" w:pos="714"/>
        </w:tabs>
        <w:spacing w:after="0" w:line="240" w:lineRule="auto"/>
        <w:ind w:left="714" w:hanging="357"/>
        <w:jc w:val="both"/>
        <w:rPr>
          <w:rFonts w:asciiTheme="minorHAnsi" w:hAnsiTheme="minorHAnsi" w:cstheme="minorHAnsi"/>
          <w:i w:val="0"/>
          <w:iCs w:val="0"/>
          <w:color w:val="000000"/>
          <w:sz w:val="24"/>
          <w:szCs w:val="24"/>
          <w:u w:color="000000"/>
          <w:lang w:val="en-US"/>
        </w:rPr>
      </w:pPr>
      <w:r w:rsidRPr="0028074F">
        <w:rPr>
          <w:rFonts w:asciiTheme="minorHAnsi" w:hAnsiTheme="minorHAnsi" w:cstheme="minorHAnsi"/>
          <w:i w:val="0"/>
          <w:iCs w:val="0"/>
          <w:color w:val="000000"/>
          <w:sz w:val="24"/>
          <w:szCs w:val="24"/>
          <w:u w:color="000000"/>
          <w:lang w:val="en-US"/>
        </w:rPr>
        <w:t>To validate the entries on the eCRF against those in the source documents (source data verification, SDV).</w:t>
      </w:r>
    </w:p>
    <w:p w14:paraId="15FE2E4D" w14:textId="77777777" w:rsidR="006D7733" w:rsidRPr="0028074F" w:rsidRDefault="006D7733" w:rsidP="006D7733">
      <w:pPr>
        <w:pStyle w:val="Beispieltext"/>
        <w:numPr>
          <w:ilvl w:val="0"/>
          <w:numId w:val="7"/>
        </w:numPr>
        <w:tabs>
          <w:tab w:val="num" w:pos="714"/>
        </w:tabs>
        <w:spacing w:after="0" w:line="240" w:lineRule="auto"/>
        <w:ind w:left="714" w:hanging="357"/>
        <w:jc w:val="both"/>
        <w:rPr>
          <w:rFonts w:asciiTheme="minorHAnsi" w:hAnsiTheme="minorHAnsi" w:cstheme="minorHAnsi"/>
          <w:i w:val="0"/>
          <w:iCs w:val="0"/>
          <w:color w:val="000000"/>
          <w:sz w:val="24"/>
          <w:szCs w:val="24"/>
          <w:u w:color="000000"/>
          <w:lang w:val="en-US"/>
        </w:rPr>
      </w:pPr>
      <w:r w:rsidRPr="0028074F">
        <w:rPr>
          <w:rFonts w:asciiTheme="minorHAnsi" w:hAnsiTheme="minorHAnsi" w:cstheme="minorHAnsi"/>
          <w:i w:val="0"/>
          <w:iCs w:val="0"/>
          <w:color w:val="000000"/>
          <w:sz w:val="24"/>
          <w:szCs w:val="24"/>
          <w:u w:color="000000"/>
          <w:lang w:val="en-US"/>
        </w:rPr>
        <w:t>To evaluate the progress of the trial.</w:t>
      </w:r>
    </w:p>
    <w:p w14:paraId="5342FBEA" w14:textId="77777777" w:rsidR="006D7733" w:rsidRPr="0028074F" w:rsidRDefault="006D7733" w:rsidP="006D7733">
      <w:pPr>
        <w:pStyle w:val="Beispieltext"/>
        <w:numPr>
          <w:ilvl w:val="0"/>
          <w:numId w:val="8"/>
        </w:numPr>
        <w:tabs>
          <w:tab w:val="num" w:pos="714"/>
        </w:tabs>
        <w:spacing w:after="0" w:line="240" w:lineRule="auto"/>
        <w:ind w:left="714" w:hanging="357"/>
        <w:jc w:val="both"/>
        <w:rPr>
          <w:rFonts w:asciiTheme="minorHAnsi" w:hAnsiTheme="minorHAnsi" w:cstheme="minorHAnsi"/>
          <w:i w:val="0"/>
          <w:iCs w:val="0"/>
          <w:color w:val="000000"/>
          <w:sz w:val="24"/>
          <w:szCs w:val="24"/>
          <w:u w:color="000000"/>
          <w:lang w:val="en-US"/>
        </w:rPr>
      </w:pPr>
      <w:r w:rsidRPr="0028074F">
        <w:rPr>
          <w:rFonts w:asciiTheme="minorHAnsi" w:hAnsiTheme="minorHAnsi" w:cstheme="minorHAnsi"/>
          <w:i w:val="0"/>
          <w:iCs w:val="0"/>
          <w:color w:val="000000"/>
          <w:sz w:val="24"/>
          <w:szCs w:val="24"/>
          <w:u w:color="000000"/>
          <w:lang w:val="en-US"/>
        </w:rPr>
        <w:t>To evaluate compliance with the trial protocol.</w:t>
      </w:r>
    </w:p>
    <w:p w14:paraId="4BC725D6" w14:textId="77777777" w:rsidR="006D7733" w:rsidRPr="0028074F" w:rsidRDefault="006D7733" w:rsidP="006D7733">
      <w:pPr>
        <w:pStyle w:val="Beispieltext"/>
        <w:numPr>
          <w:ilvl w:val="0"/>
          <w:numId w:val="9"/>
        </w:numPr>
        <w:tabs>
          <w:tab w:val="num" w:pos="714"/>
        </w:tabs>
        <w:spacing w:after="0" w:line="240" w:lineRule="auto"/>
        <w:ind w:left="714" w:hanging="357"/>
        <w:jc w:val="both"/>
        <w:rPr>
          <w:rFonts w:asciiTheme="minorHAnsi" w:hAnsiTheme="minorHAnsi" w:cstheme="minorHAnsi"/>
          <w:i w:val="0"/>
          <w:iCs w:val="0"/>
          <w:color w:val="000000"/>
          <w:sz w:val="24"/>
          <w:szCs w:val="24"/>
          <w:u w:color="000000"/>
          <w:lang w:val="en-US"/>
        </w:rPr>
      </w:pPr>
      <w:r w:rsidRPr="0028074F">
        <w:rPr>
          <w:rFonts w:asciiTheme="minorHAnsi" w:hAnsiTheme="minorHAnsi" w:cstheme="minorHAnsi"/>
          <w:i w:val="0"/>
          <w:iCs w:val="0"/>
          <w:color w:val="000000"/>
          <w:sz w:val="24"/>
          <w:szCs w:val="24"/>
          <w:u w:color="000000"/>
          <w:lang w:val="en-US"/>
        </w:rPr>
        <w:t>To assess whether the trial is being performed according to GCP at the trial site.</w:t>
      </w:r>
    </w:p>
    <w:p w14:paraId="320356D0" w14:textId="77777777" w:rsidR="006D7733" w:rsidRPr="0028074F" w:rsidRDefault="006D7733" w:rsidP="006D7733">
      <w:pPr>
        <w:pStyle w:val="Beispieltext"/>
        <w:numPr>
          <w:ilvl w:val="0"/>
          <w:numId w:val="10"/>
        </w:numPr>
        <w:tabs>
          <w:tab w:val="num" w:pos="714"/>
        </w:tabs>
        <w:spacing w:after="0" w:line="240" w:lineRule="auto"/>
        <w:ind w:left="714" w:hanging="357"/>
        <w:jc w:val="both"/>
        <w:rPr>
          <w:rFonts w:asciiTheme="minorHAnsi" w:hAnsiTheme="minorHAnsi" w:cstheme="minorHAnsi"/>
          <w:i w:val="0"/>
          <w:iCs w:val="0"/>
          <w:color w:val="000000"/>
          <w:sz w:val="24"/>
          <w:szCs w:val="24"/>
          <w:u w:color="000000"/>
          <w:lang w:val="en-US"/>
        </w:rPr>
      </w:pPr>
      <w:r w:rsidRPr="0028074F">
        <w:rPr>
          <w:rFonts w:asciiTheme="minorHAnsi" w:hAnsiTheme="minorHAnsi" w:cstheme="minorHAnsi"/>
          <w:i w:val="0"/>
          <w:iCs w:val="0"/>
          <w:color w:val="000000"/>
          <w:sz w:val="24"/>
          <w:szCs w:val="24"/>
          <w:u w:color="000000"/>
          <w:lang w:val="en-US"/>
        </w:rPr>
        <w:t>To discuss with the investigator aspects of trial conduct and any deficiencies found.</w:t>
      </w:r>
    </w:p>
    <w:p w14:paraId="45263BC2" w14:textId="77777777" w:rsidR="006D7733" w:rsidRPr="0028074F" w:rsidRDefault="006D7733" w:rsidP="006D7733">
      <w:pPr>
        <w:pStyle w:val="Body"/>
        <w:jc w:val="both"/>
        <w:rPr>
          <w:rFonts w:asciiTheme="minorHAnsi" w:hAnsiTheme="minorHAnsi" w:cstheme="minorHAnsi"/>
        </w:rPr>
      </w:pPr>
    </w:p>
    <w:p w14:paraId="66CF6547" w14:textId="77777777" w:rsidR="006D7733" w:rsidRPr="0028074F" w:rsidRDefault="006D7733" w:rsidP="006D7733">
      <w:pPr>
        <w:pStyle w:val="Beispieltext"/>
        <w:spacing w:after="0" w:line="240" w:lineRule="auto"/>
        <w:jc w:val="both"/>
        <w:rPr>
          <w:rFonts w:asciiTheme="minorHAnsi" w:hAnsiTheme="minorHAnsi" w:cstheme="minorHAnsi"/>
          <w:i w:val="0"/>
          <w:iCs w:val="0"/>
          <w:color w:val="000000"/>
          <w:sz w:val="24"/>
          <w:szCs w:val="24"/>
          <w:u w:color="000000"/>
          <w:lang w:val="en-US"/>
        </w:rPr>
      </w:pPr>
      <w:r w:rsidRPr="0028074F">
        <w:rPr>
          <w:rFonts w:asciiTheme="minorHAnsi" w:hAnsiTheme="minorHAnsi" w:cstheme="minorHAnsi"/>
          <w:i w:val="0"/>
          <w:iCs w:val="0"/>
          <w:color w:val="000000"/>
          <w:sz w:val="24"/>
          <w:szCs w:val="24"/>
          <w:u w:color="000000"/>
          <w:lang w:val="en-US"/>
        </w:rPr>
        <w:t>A monitoring visit report is prepared for each visit describing the progress of the clinical trial and any problems (e.g. refusal to give access to documentation).</w:t>
      </w:r>
    </w:p>
    <w:p w14:paraId="7C1F7DA6" w14:textId="77777777" w:rsidR="0028074F" w:rsidRDefault="0028074F">
      <w:pPr>
        <w:rPr>
          <w:rFonts w:cstheme="minorHAnsi"/>
          <w:sz w:val="24"/>
          <w:szCs w:val="24"/>
          <w:u w:val="single"/>
          <w:lang w:val="en-GB"/>
        </w:rPr>
      </w:pPr>
    </w:p>
    <w:p w14:paraId="22613B5F" w14:textId="3AC6EA83" w:rsidR="007A41A4" w:rsidRPr="0028074F" w:rsidRDefault="007A41A4">
      <w:pPr>
        <w:rPr>
          <w:rFonts w:cstheme="minorHAnsi"/>
          <w:sz w:val="24"/>
          <w:szCs w:val="24"/>
          <w:u w:val="single"/>
          <w:lang w:val="en-GB"/>
        </w:rPr>
      </w:pPr>
      <w:r w:rsidRPr="0028074F">
        <w:rPr>
          <w:rFonts w:cstheme="minorHAnsi"/>
          <w:sz w:val="24"/>
          <w:szCs w:val="24"/>
          <w:u w:val="single"/>
          <w:lang w:val="en-GB"/>
        </w:rPr>
        <w:t>Safety</w:t>
      </w:r>
    </w:p>
    <w:p w14:paraId="79C1491A" w14:textId="38B11CED" w:rsidR="002C1883" w:rsidRPr="0028074F" w:rsidRDefault="002C1883">
      <w:pPr>
        <w:rPr>
          <w:rFonts w:cstheme="minorHAnsi"/>
          <w:sz w:val="24"/>
          <w:szCs w:val="24"/>
          <w:lang w:val="en-GB"/>
        </w:rPr>
      </w:pPr>
      <w:r w:rsidRPr="0028074F">
        <w:rPr>
          <w:rFonts w:cstheme="minorHAnsi"/>
          <w:sz w:val="24"/>
          <w:szCs w:val="24"/>
          <w:lang w:val="en-GB"/>
        </w:rPr>
        <w:t xml:space="preserve">Expected adverse reactions of BX-1 are listed in table </w:t>
      </w:r>
      <w:r w:rsidR="000C3D8D" w:rsidRPr="0028074F">
        <w:rPr>
          <w:rFonts w:cstheme="minorHAnsi"/>
          <w:sz w:val="24"/>
          <w:szCs w:val="24"/>
          <w:lang w:val="en-GB"/>
        </w:rPr>
        <w:t>S1</w:t>
      </w:r>
      <w:r w:rsidRPr="0028074F">
        <w:rPr>
          <w:rFonts w:cstheme="minorHAnsi"/>
          <w:sz w:val="24"/>
          <w:szCs w:val="24"/>
          <w:lang w:val="en-GB"/>
        </w:rPr>
        <w:t>.</w:t>
      </w:r>
    </w:p>
    <w:p w14:paraId="3C9B0659" w14:textId="3F48B7C0" w:rsidR="002C1883" w:rsidRPr="0028074F" w:rsidRDefault="002C1883">
      <w:pPr>
        <w:rPr>
          <w:rFonts w:cstheme="minorHAnsi"/>
          <w:sz w:val="24"/>
          <w:szCs w:val="24"/>
          <w:lang w:val="en-GB"/>
        </w:rPr>
      </w:pPr>
      <w:r w:rsidRPr="0028074F">
        <w:rPr>
          <w:rFonts w:cstheme="minorHAnsi"/>
          <w:b/>
          <w:sz w:val="24"/>
          <w:szCs w:val="24"/>
          <w:lang w:val="en-US"/>
        </w:rPr>
        <w:t xml:space="preserve">Table </w:t>
      </w:r>
      <w:r w:rsidR="000C3D8D" w:rsidRPr="0028074F">
        <w:rPr>
          <w:rFonts w:cstheme="minorHAnsi"/>
          <w:b/>
          <w:sz w:val="24"/>
          <w:szCs w:val="24"/>
          <w:lang w:val="en-US"/>
        </w:rPr>
        <w:t>S1</w:t>
      </w:r>
      <w:r w:rsidRPr="0028074F">
        <w:rPr>
          <w:rFonts w:cstheme="minorHAnsi"/>
          <w:b/>
          <w:sz w:val="24"/>
          <w:szCs w:val="24"/>
          <w:lang w:val="en-US"/>
        </w:rPr>
        <w:t xml:space="preserve">: Reported adverse reactions of BX-1 </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08"/>
        <w:gridCol w:w="2708"/>
        <w:gridCol w:w="2708"/>
      </w:tblGrid>
      <w:tr w:rsidR="007A1C71" w:rsidRPr="0028074F" w14:paraId="14D2EA12" w14:textId="77777777" w:rsidTr="005E256C">
        <w:trPr>
          <w:trHeight w:val="145"/>
        </w:trPr>
        <w:tc>
          <w:tcPr>
            <w:tcW w:w="2708" w:type="dxa"/>
          </w:tcPr>
          <w:p w14:paraId="426DAF1C" w14:textId="77777777" w:rsidR="007A1C71" w:rsidRPr="0028074F" w:rsidRDefault="007A1C71" w:rsidP="005E256C">
            <w:pPr>
              <w:pStyle w:val="Default"/>
              <w:keepNext/>
              <w:keepLines/>
              <w:rPr>
                <w:rFonts w:asciiTheme="minorHAnsi" w:hAnsiTheme="minorHAnsi" w:cstheme="minorHAnsi"/>
              </w:rPr>
            </w:pPr>
            <w:r w:rsidRPr="0028074F">
              <w:rPr>
                <w:rFonts w:asciiTheme="minorHAnsi" w:hAnsiTheme="minorHAnsi" w:cstheme="minorHAnsi"/>
                <w:b/>
                <w:bCs/>
              </w:rPr>
              <w:t xml:space="preserve">System Organ Class </w:t>
            </w:r>
          </w:p>
        </w:tc>
        <w:tc>
          <w:tcPr>
            <w:tcW w:w="2708" w:type="dxa"/>
          </w:tcPr>
          <w:p w14:paraId="04E3937A" w14:textId="77777777" w:rsidR="007A1C71" w:rsidRPr="0028074F" w:rsidRDefault="007A1C71" w:rsidP="005E256C">
            <w:pPr>
              <w:pStyle w:val="Default"/>
              <w:keepNext/>
              <w:keepLines/>
              <w:rPr>
                <w:rFonts w:asciiTheme="minorHAnsi" w:hAnsiTheme="minorHAnsi" w:cstheme="minorHAnsi"/>
              </w:rPr>
            </w:pPr>
            <w:r w:rsidRPr="0028074F">
              <w:rPr>
                <w:rFonts w:asciiTheme="minorHAnsi" w:hAnsiTheme="minorHAnsi" w:cstheme="minorHAnsi"/>
                <w:b/>
                <w:bCs/>
              </w:rPr>
              <w:t xml:space="preserve">Adverse Reactions </w:t>
            </w:r>
          </w:p>
        </w:tc>
        <w:tc>
          <w:tcPr>
            <w:tcW w:w="2708" w:type="dxa"/>
          </w:tcPr>
          <w:p w14:paraId="299D5BAE" w14:textId="77777777" w:rsidR="007A1C71" w:rsidRPr="0028074F" w:rsidRDefault="007A1C71" w:rsidP="005E256C">
            <w:pPr>
              <w:pStyle w:val="Default"/>
              <w:rPr>
                <w:rFonts w:asciiTheme="minorHAnsi" w:hAnsiTheme="minorHAnsi" w:cstheme="minorHAnsi"/>
              </w:rPr>
            </w:pPr>
            <w:r w:rsidRPr="0028074F">
              <w:rPr>
                <w:rFonts w:asciiTheme="minorHAnsi" w:hAnsiTheme="minorHAnsi" w:cstheme="minorHAnsi"/>
                <w:b/>
                <w:bCs/>
              </w:rPr>
              <w:t xml:space="preserve">Frequency </w:t>
            </w:r>
          </w:p>
        </w:tc>
      </w:tr>
      <w:tr w:rsidR="007A1C71" w:rsidRPr="0028074F" w14:paraId="303A1407" w14:textId="77777777" w:rsidTr="005E256C">
        <w:trPr>
          <w:trHeight w:val="652"/>
        </w:trPr>
        <w:tc>
          <w:tcPr>
            <w:tcW w:w="2708" w:type="dxa"/>
          </w:tcPr>
          <w:p w14:paraId="7A6A6F6E" w14:textId="77777777" w:rsidR="007A1C71" w:rsidRPr="0028074F" w:rsidRDefault="007A1C71" w:rsidP="005E256C">
            <w:pPr>
              <w:pStyle w:val="Default"/>
              <w:keepNext/>
              <w:keepLines/>
              <w:rPr>
                <w:rFonts w:asciiTheme="minorHAnsi" w:hAnsiTheme="minorHAnsi" w:cstheme="minorHAnsi"/>
              </w:rPr>
            </w:pPr>
            <w:r w:rsidRPr="0028074F">
              <w:rPr>
                <w:rFonts w:asciiTheme="minorHAnsi" w:hAnsiTheme="minorHAnsi" w:cstheme="minorHAnsi"/>
              </w:rPr>
              <w:t xml:space="preserve">Psychiatric disorders </w:t>
            </w:r>
          </w:p>
        </w:tc>
        <w:tc>
          <w:tcPr>
            <w:tcW w:w="2708" w:type="dxa"/>
          </w:tcPr>
          <w:p w14:paraId="6041C652" w14:textId="77777777" w:rsidR="007A1C71" w:rsidRPr="0028074F" w:rsidRDefault="007A1C71" w:rsidP="005E256C">
            <w:pPr>
              <w:pStyle w:val="Default"/>
              <w:keepNext/>
              <w:keepLines/>
              <w:rPr>
                <w:rFonts w:asciiTheme="minorHAnsi" w:hAnsiTheme="minorHAnsi" w:cstheme="minorHAnsi"/>
                <w:lang w:val="en-US"/>
              </w:rPr>
            </w:pPr>
            <w:r w:rsidRPr="0028074F">
              <w:rPr>
                <w:rFonts w:asciiTheme="minorHAnsi" w:hAnsiTheme="minorHAnsi" w:cstheme="minorHAnsi"/>
                <w:lang w:val="en-US"/>
              </w:rPr>
              <w:t xml:space="preserve">Anxiety/restlessness, depression, euphoria, sleep disorder </w:t>
            </w:r>
          </w:p>
          <w:p w14:paraId="56621F44" w14:textId="77777777" w:rsidR="007A1C71" w:rsidRPr="0028074F" w:rsidRDefault="007A1C71" w:rsidP="005E256C">
            <w:pPr>
              <w:pStyle w:val="Default"/>
              <w:keepNext/>
              <w:keepLines/>
              <w:rPr>
                <w:rFonts w:asciiTheme="minorHAnsi" w:hAnsiTheme="minorHAnsi" w:cstheme="minorHAnsi"/>
              </w:rPr>
            </w:pPr>
            <w:r w:rsidRPr="0028074F">
              <w:rPr>
                <w:rFonts w:asciiTheme="minorHAnsi" w:hAnsiTheme="minorHAnsi" w:cstheme="minorHAnsi"/>
              </w:rPr>
              <w:t xml:space="preserve">Thinking abnormal </w:t>
            </w:r>
          </w:p>
        </w:tc>
        <w:tc>
          <w:tcPr>
            <w:tcW w:w="2708" w:type="dxa"/>
          </w:tcPr>
          <w:p w14:paraId="0D5647A0" w14:textId="77777777" w:rsidR="007A1C71" w:rsidRPr="0028074F" w:rsidRDefault="007A1C71" w:rsidP="005E256C">
            <w:pPr>
              <w:pStyle w:val="Default"/>
              <w:rPr>
                <w:rFonts w:asciiTheme="minorHAnsi" w:hAnsiTheme="minorHAnsi" w:cstheme="minorHAnsi"/>
              </w:rPr>
            </w:pPr>
            <w:r w:rsidRPr="0028074F">
              <w:rPr>
                <w:rFonts w:asciiTheme="minorHAnsi" w:hAnsiTheme="minorHAnsi" w:cstheme="minorHAnsi"/>
              </w:rPr>
              <w:t xml:space="preserve">Common </w:t>
            </w:r>
          </w:p>
          <w:p w14:paraId="42068963" w14:textId="77777777" w:rsidR="007A1C71" w:rsidRPr="0028074F" w:rsidRDefault="007A1C71" w:rsidP="005E256C">
            <w:pPr>
              <w:pStyle w:val="Default"/>
              <w:rPr>
                <w:rFonts w:asciiTheme="minorHAnsi" w:hAnsiTheme="minorHAnsi" w:cstheme="minorHAnsi"/>
              </w:rPr>
            </w:pPr>
          </w:p>
          <w:p w14:paraId="0FD160A7" w14:textId="77777777" w:rsidR="007A1C71" w:rsidRPr="0028074F" w:rsidRDefault="007A1C71" w:rsidP="005E256C">
            <w:pPr>
              <w:pStyle w:val="Default"/>
              <w:rPr>
                <w:rFonts w:asciiTheme="minorHAnsi" w:hAnsiTheme="minorHAnsi" w:cstheme="minorHAnsi"/>
              </w:rPr>
            </w:pPr>
          </w:p>
          <w:p w14:paraId="6E75974B" w14:textId="77777777" w:rsidR="007A1C71" w:rsidRPr="0028074F" w:rsidRDefault="007A1C71" w:rsidP="005E256C">
            <w:pPr>
              <w:pStyle w:val="Default"/>
              <w:rPr>
                <w:rFonts w:asciiTheme="minorHAnsi" w:hAnsiTheme="minorHAnsi" w:cstheme="minorHAnsi"/>
              </w:rPr>
            </w:pPr>
            <w:r w:rsidRPr="0028074F">
              <w:rPr>
                <w:rFonts w:asciiTheme="minorHAnsi" w:hAnsiTheme="minorHAnsi" w:cstheme="minorHAnsi"/>
              </w:rPr>
              <w:t xml:space="preserve">Uncommon </w:t>
            </w:r>
          </w:p>
        </w:tc>
      </w:tr>
      <w:tr w:rsidR="007A1C71" w:rsidRPr="0028074F" w14:paraId="73896CC7" w14:textId="77777777" w:rsidTr="005E256C">
        <w:trPr>
          <w:trHeight w:val="780"/>
        </w:trPr>
        <w:tc>
          <w:tcPr>
            <w:tcW w:w="2708" w:type="dxa"/>
          </w:tcPr>
          <w:p w14:paraId="3F1F2D14" w14:textId="77777777" w:rsidR="007A1C71" w:rsidRPr="0028074F" w:rsidRDefault="007A1C71" w:rsidP="005E256C">
            <w:pPr>
              <w:pStyle w:val="Default"/>
              <w:rPr>
                <w:rFonts w:asciiTheme="minorHAnsi" w:hAnsiTheme="minorHAnsi" w:cstheme="minorHAnsi"/>
              </w:rPr>
            </w:pPr>
            <w:r w:rsidRPr="0028074F">
              <w:rPr>
                <w:rFonts w:asciiTheme="minorHAnsi" w:hAnsiTheme="minorHAnsi" w:cstheme="minorHAnsi"/>
              </w:rPr>
              <w:t xml:space="preserve">Nervous system disorders </w:t>
            </w:r>
          </w:p>
        </w:tc>
        <w:tc>
          <w:tcPr>
            <w:tcW w:w="2708" w:type="dxa"/>
          </w:tcPr>
          <w:p w14:paraId="2A113E9F" w14:textId="77777777" w:rsidR="007A1C71" w:rsidRPr="0028074F" w:rsidRDefault="007A1C71" w:rsidP="005E256C">
            <w:pPr>
              <w:pStyle w:val="Default"/>
              <w:rPr>
                <w:rFonts w:asciiTheme="minorHAnsi" w:hAnsiTheme="minorHAnsi" w:cstheme="minorHAnsi"/>
                <w:lang w:val="en-US"/>
              </w:rPr>
            </w:pPr>
            <w:r w:rsidRPr="0028074F">
              <w:rPr>
                <w:rFonts w:asciiTheme="minorHAnsi" w:hAnsiTheme="minorHAnsi" w:cstheme="minorHAnsi"/>
                <w:lang w:val="en-US"/>
              </w:rPr>
              <w:t xml:space="preserve">Dizziness, headache, disturbance in attention, memory impairment, speech difficulties </w:t>
            </w:r>
          </w:p>
          <w:p w14:paraId="729C11E1" w14:textId="16970083" w:rsidR="007A1C71" w:rsidRPr="0028074F" w:rsidRDefault="007A1C71" w:rsidP="005E256C">
            <w:pPr>
              <w:pStyle w:val="Default"/>
              <w:rPr>
                <w:rFonts w:asciiTheme="minorHAnsi" w:hAnsiTheme="minorHAnsi" w:cstheme="minorHAnsi"/>
              </w:rPr>
            </w:pPr>
            <w:r w:rsidRPr="0028074F">
              <w:rPr>
                <w:rFonts w:asciiTheme="minorHAnsi" w:hAnsiTheme="minorHAnsi" w:cstheme="minorHAnsi"/>
              </w:rPr>
              <w:t>Tremor</w:t>
            </w:r>
            <w:r w:rsidR="00805B67" w:rsidRPr="0028074F">
              <w:rPr>
                <w:rFonts w:asciiTheme="minorHAnsi" w:hAnsiTheme="minorHAnsi" w:cstheme="minorHAnsi"/>
              </w:rPr>
              <w:t>, Hypotonia</w:t>
            </w:r>
            <w:r w:rsidRPr="0028074F">
              <w:rPr>
                <w:rFonts w:asciiTheme="minorHAnsi" w:hAnsiTheme="minorHAnsi" w:cstheme="minorHAnsi"/>
              </w:rPr>
              <w:t xml:space="preserve"> </w:t>
            </w:r>
          </w:p>
        </w:tc>
        <w:tc>
          <w:tcPr>
            <w:tcW w:w="2708" w:type="dxa"/>
          </w:tcPr>
          <w:p w14:paraId="6866E6D0" w14:textId="77777777" w:rsidR="007A1C71" w:rsidRPr="0028074F" w:rsidRDefault="007A1C71" w:rsidP="005E256C">
            <w:pPr>
              <w:pStyle w:val="Default"/>
              <w:rPr>
                <w:rFonts w:asciiTheme="minorHAnsi" w:hAnsiTheme="minorHAnsi" w:cstheme="minorHAnsi"/>
              </w:rPr>
            </w:pPr>
            <w:r w:rsidRPr="0028074F">
              <w:rPr>
                <w:rFonts w:asciiTheme="minorHAnsi" w:hAnsiTheme="minorHAnsi" w:cstheme="minorHAnsi"/>
              </w:rPr>
              <w:t xml:space="preserve">Common </w:t>
            </w:r>
          </w:p>
          <w:p w14:paraId="4EB19FFD" w14:textId="77777777" w:rsidR="007A1C71" w:rsidRPr="0028074F" w:rsidRDefault="007A1C71" w:rsidP="005E256C">
            <w:pPr>
              <w:pStyle w:val="Default"/>
              <w:rPr>
                <w:rFonts w:asciiTheme="minorHAnsi" w:hAnsiTheme="minorHAnsi" w:cstheme="minorHAnsi"/>
              </w:rPr>
            </w:pPr>
          </w:p>
          <w:p w14:paraId="0F53925E" w14:textId="77777777" w:rsidR="007A1C71" w:rsidRPr="0028074F" w:rsidRDefault="007A1C71" w:rsidP="005E256C">
            <w:pPr>
              <w:pStyle w:val="Default"/>
              <w:rPr>
                <w:rFonts w:asciiTheme="minorHAnsi" w:hAnsiTheme="minorHAnsi" w:cstheme="minorHAnsi"/>
              </w:rPr>
            </w:pPr>
          </w:p>
          <w:p w14:paraId="1422D161" w14:textId="77777777" w:rsidR="007A1C71" w:rsidRPr="0028074F" w:rsidRDefault="007A1C71" w:rsidP="005E256C">
            <w:pPr>
              <w:pStyle w:val="Default"/>
              <w:rPr>
                <w:rFonts w:asciiTheme="minorHAnsi" w:hAnsiTheme="minorHAnsi" w:cstheme="minorHAnsi"/>
              </w:rPr>
            </w:pPr>
          </w:p>
          <w:p w14:paraId="16C736AE" w14:textId="77777777" w:rsidR="007A1C71" w:rsidRPr="0028074F" w:rsidRDefault="007A1C71" w:rsidP="005E256C">
            <w:pPr>
              <w:pStyle w:val="Default"/>
              <w:rPr>
                <w:rFonts w:asciiTheme="minorHAnsi" w:hAnsiTheme="minorHAnsi" w:cstheme="minorHAnsi"/>
              </w:rPr>
            </w:pPr>
            <w:r w:rsidRPr="0028074F">
              <w:rPr>
                <w:rFonts w:asciiTheme="minorHAnsi" w:hAnsiTheme="minorHAnsi" w:cstheme="minorHAnsi"/>
              </w:rPr>
              <w:t xml:space="preserve">Uncommon </w:t>
            </w:r>
          </w:p>
        </w:tc>
      </w:tr>
      <w:tr w:rsidR="007A1C71" w:rsidRPr="0028074F" w14:paraId="516CE1E3" w14:textId="77777777" w:rsidTr="005E256C">
        <w:trPr>
          <w:trHeight w:val="142"/>
        </w:trPr>
        <w:tc>
          <w:tcPr>
            <w:tcW w:w="2708" w:type="dxa"/>
          </w:tcPr>
          <w:p w14:paraId="7A1EF7A4" w14:textId="77777777" w:rsidR="007A1C71" w:rsidRPr="0028074F" w:rsidRDefault="007A1C71" w:rsidP="005E256C">
            <w:pPr>
              <w:pStyle w:val="Default"/>
              <w:rPr>
                <w:rFonts w:asciiTheme="minorHAnsi" w:hAnsiTheme="minorHAnsi" w:cstheme="minorHAnsi"/>
              </w:rPr>
            </w:pPr>
            <w:r w:rsidRPr="0028074F">
              <w:rPr>
                <w:rFonts w:asciiTheme="minorHAnsi" w:hAnsiTheme="minorHAnsi" w:cstheme="minorHAnsi"/>
              </w:rPr>
              <w:t xml:space="preserve">Ear and labyrinth disorders </w:t>
            </w:r>
          </w:p>
        </w:tc>
        <w:tc>
          <w:tcPr>
            <w:tcW w:w="2708" w:type="dxa"/>
          </w:tcPr>
          <w:p w14:paraId="110F3768" w14:textId="77777777" w:rsidR="007A1C71" w:rsidRPr="0028074F" w:rsidRDefault="007A1C71" w:rsidP="005E256C">
            <w:pPr>
              <w:pStyle w:val="Default"/>
              <w:rPr>
                <w:rFonts w:asciiTheme="minorHAnsi" w:hAnsiTheme="minorHAnsi" w:cstheme="minorHAnsi"/>
              </w:rPr>
            </w:pPr>
            <w:r w:rsidRPr="0028074F">
              <w:rPr>
                <w:rFonts w:asciiTheme="minorHAnsi" w:hAnsiTheme="minorHAnsi" w:cstheme="minorHAnsi"/>
              </w:rPr>
              <w:t xml:space="preserve">Vertigo </w:t>
            </w:r>
          </w:p>
        </w:tc>
        <w:tc>
          <w:tcPr>
            <w:tcW w:w="2708" w:type="dxa"/>
          </w:tcPr>
          <w:p w14:paraId="0FCD48C2" w14:textId="77777777" w:rsidR="007A1C71" w:rsidRPr="0028074F" w:rsidRDefault="007A1C71" w:rsidP="005E256C">
            <w:pPr>
              <w:pStyle w:val="Default"/>
              <w:rPr>
                <w:rFonts w:asciiTheme="minorHAnsi" w:hAnsiTheme="minorHAnsi" w:cstheme="minorHAnsi"/>
              </w:rPr>
            </w:pPr>
            <w:r w:rsidRPr="0028074F">
              <w:rPr>
                <w:rFonts w:asciiTheme="minorHAnsi" w:hAnsiTheme="minorHAnsi" w:cstheme="minorHAnsi"/>
              </w:rPr>
              <w:t>Common</w:t>
            </w:r>
          </w:p>
        </w:tc>
      </w:tr>
      <w:tr w:rsidR="007A1C71" w:rsidRPr="0028074F" w14:paraId="5B584C7E" w14:textId="77777777" w:rsidTr="005E256C">
        <w:trPr>
          <w:trHeight w:val="142"/>
        </w:trPr>
        <w:tc>
          <w:tcPr>
            <w:tcW w:w="2708" w:type="dxa"/>
          </w:tcPr>
          <w:p w14:paraId="5922B022" w14:textId="77777777" w:rsidR="007A1C71" w:rsidRPr="0028074F" w:rsidRDefault="007A1C71" w:rsidP="005E256C">
            <w:pPr>
              <w:pStyle w:val="Default"/>
              <w:rPr>
                <w:rFonts w:asciiTheme="minorHAnsi" w:hAnsiTheme="minorHAnsi" w:cstheme="minorHAnsi"/>
              </w:rPr>
            </w:pPr>
            <w:r w:rsidRPr="0028074F">
              <w:rPr>
                <w:rFonts w:asciiTheme="minorHAnsi" w:hAnsiTheme="minorHAnsi" w:cstheme="minorHAnsi"/>
              </w:rPr>
              <w:t xml:space="preserve">Cardiac disorders </w:t>
            </w:r>
          </w:p>
        </w:tc>
        <w:tc>
          <w:tcPr>
            <w:tcW w:w="2708" w:type="dxa"/>
          </w:tcPr>
          <w:p w14:paraId="22CBED0F" w14:textId="77777777" w:rsidR="007A1C71" w:rsidRPr="0028074F" w:rsidRDefault="007A1C71" w:rsidP="005E256C">
            <w:pPr>
              <w:pStyle w:val="Default"/>
              <w:rPr>
                <w:rFonts w:asciiTheme="minorHAnsi" w:hAnsiTheme="minorHAnsi" w:cstheme="minorHAnsi"/>
              </w:rPr>
            </w:pPr>
            <w:r w:rsidRPr="0028074F">
              <w:rPr>
                <w:rFonts w:asciiTheme="minorHAnsi" w:hAnsiTheme="minorHAnsi" w:cstheme="minorHAnsi"/>
              </w:rPr>
              <w:t xml:space="preserve">Tachycardia </w:t>
            </w:r>
          </w:p>
        </w:tc>
        <w:tc>
          <w:tcPr>
            <w:tcW w:w="2708" w:type="dxa"/>
          </w:tcPr>
          <w:p w14:paraId="045210B9" w14:textId="77777777" w:rsidR="007A1C71" w:rsidRPr="0028074F" w:rsidRDefault="007A1C71" w:rsidP="005E256C">
            <w:pPr>
              <w:pStyle w:val="Default"/>
              <w:rPr>
                <w:rFonts w:asciiTheme="minorHAnsi" w:hAnsiTheme="minorHAnsi" w:cstheme="minorHAnsi"/>
              </w:rPr>
            </w:pPr>
            <w:r w:rsidRPr="0028074F">
              <w:rPr>
                <w:rFonts w:asciiTheme="minorHAnsi" w:hAnsiTheme="minorHAnsi" w:cstheme="minorHAnsi"/>
              </w:rPr>
              <w:t xml:space="preserve">Uncommon </w:t>
            </w:r>
          </w:p>
        </w:tc>
      </w:tr>
      <w:tr w:rsidR="007A1C71" w:rsidRPr="0028074F" w14:paraId="7FB9C56C" w14:textId="77777777" w:rsidTr="005E256C">
        <w:trPr>
          <w:trHeight w:val="142"/>
        </w:trPr>
        <w:tc>
          <w:tcPr>
            <w:tcW w:w="2708" w:type="dxa"/>
          </w:tcPr>
          <w:p w14:paraId="657B5BF5" w14:textId="77777777" w:rsidR="007A1C71" w:rsidRPr="0028074F" w:rsidRDefault="007A1C71" w:rsidP="005E256C">
            <w:pPr>
              <w:pStyle w:val="Default"/>
              <w:rPr>
                <w:rFonts w:asciiTheme="minorHAnsi" w:hAnsiTheme="minorHAnsi" w:cstheme="minorHAnsi"/>
              </w:rPr>
            </w:pPr>
            <w:r w:rsidRPr="0028074F">
              <w:rPr>
                <w:rFonts w:asciiTheme="minorHAnsi" w:hAnsiTheme="minorHAnsi" w:cstheme="minorHAnsi"/>
              </w:rPr>
              <w:t xml:space="preserve">Vascular disorders </w:t>
            </w:r>
          </w:p>
        </w:tc>
        <w:tc>
          <w:tcPr>
            <w:tcW w:w="2708" w:type="dxa"/>
          </w:tcPr>
          <w:p w14:paraId="4883AC35" w14:textId="6A42AB98" w:rsidR="007A1C71" w:rsidRPr="0028074F" w:rsidRDefault="007A1C71" w:rsidP="00805B67">
            <w:pPr>
              <w:pStyle w:val="Default"/>
              <w:rPr>
                <w:rFonts w:asciiTheme="minorHAnsi" w:hAnsiTheme="minorHAnsi" w:cstheme="minorHAnsi"/>
              </w:rPr>
            </w:pPr>
            <w:r w:rsidRPr="0028074F">
              <w:rPr>
                <w:rFonts w:asciiTheme="minorHAnsi" w:hAnsiTheme="minorHAnsi" w:cstheme="minorHAnsi"/>
              </w:rPr>
              <w:t xml:space="preserve">Hypertension, </w:t>
            </w:r>
          </w:p>
        </w:tc>
        <w:tc>
          <w:tcPr>
            <w:tcW w:w="2708" w:type="dxa"/>
          </w:tcPr>
          <w:p w14:paraId="7E723DCC" w14:textId="77777777" w:rsidR="007A1C71" w:rsidRPr="0028074F" w:rsidRDefault="007A1C71" w:rsidP="005E256C">
            <w:pPr>
              <w:pStyle w:val="Default"/>
              <w:rPr>
                <w:rFonts w:asciiTheme="minorHAnsi" w:hAnsiTheme="minorHAnsi" w:cstheme="minorHAnsi"/>
              </w:rPr>
            </w:pPr>
            <w:r w:rsidRPr="0028074F">
              <w:rPr>
                <w:rFonts w:asciiTheme="minorHAnsi" w:hAnsiTheme="minorHAnsi" w:cstheme="minorHAnsi"/>
              </w:rPr>
              <w:t xml:space="preserve">Uncommon </w:t>
            </w:r>
          </w:p>
        </w:tc>
      </w:tr>
      <w:tr w:rsidR="007A1C71" w:rsidRPr="0028074F" w14:paraId="1D160518" w14:textId="77777777" w:rsidTr="005E256C">
        <w:trPr>
          <w:trHeight w:val="142"/>
        </w:trPr>
        <w:tc>
          <w:tcPr>
            <w:tcW w:w="2708" w:type="dxa"/>
          </w:tcPr>
          <w:p w14:paraId="14D7CC6E" w14:textId="77777777" w:rsidR="007A1C71" w:rsidRPr="0028074F" w:rsidRDefault="007A1C71" w:rsidP="005E256C">
            <w:pPr>
              <w:pStyle w:val="Default"/>
              <w:rPr>
                <w:rFonts w:asciiTheme="minorHAnsi" w:hAnsiTheme="minorHAnsi" w:cstheme="minorHAnsi"/>
                <w:lang w:val="en-US"/>
              </w:rPr>
            </w:pPr>
            <w:r w:rsidRPr="0028074F">
              <w:rPr>
                <w:rFonts w:asciiTheme="minorHAnsi" w:hAnsiTheme="minorHAnsi" w:cstheme="minorHAnsi"/>
                <w:lang w:val="en-US"/>
              </w:rPr>
              <w:lastRenderedPageBreak/>
              <w:t xml:space="preserve">Respiratory, thoracic and mediastinal disorders </w:t>
            </w:r>
          </w:p>
        </w:tc>
        <w:tc>
          <w:tcPr>
            <w:tcW w:w="2708" w:type="dxa"/>
          </w:tcPr>
          <w:p w14:paraId="35CA45BE" w14:textId="77777777" w:rsidR="007A1C71" w:rsidRPr="0028074F" w:rsidRDefault="007A1C71" w:rsidP="005E256C">
            <w:pPr>
              <w:pStyle w:val="Default"/>
              <w:rPr>
                <w:rFonts w:asciiTheme="minorHAnsi" w:hAnsiTheme="minorHAnsi" w:cstheme="minorHAnsi"/>
              </w:rPr>
            </w:pPr>
            <w:r w:rsidRPr="0028074F">
              <w:rPr>
                <w:rFonts w:asciiTheme="minorHAnsi" w:hAnsiTheme="minorHAnsi" w:cstheme="minorHAnsi"/>
              </w:rPr>
              <w:t xml:space="preserve">Dry nose </w:t>
            </w:r>
          </w:p>
          <w:p w14:paraId="2BE26331" w14:textId="77777777" w:rsidR="007A1C71" w:rsidRPr="0028074F" w:rsidRDefault="007A1C71" w:rsidP="005E256C">
            <w:pPr>
              <w:pStyle w:val="Default"/>
              <w:rPr>
                <w:rFonts w:asciiTheme="minorHAnsi" w:hAnsiTheme="minorHAnsi" w:cstheme="minorHAnsi"/>
              </w:rPr>
            </w:pPr>
            <w:r w:rsidRPr="0028074F">
              <w:rPr>
                <w:rFonts w:asciiTheme="minorHAnsi" w:hAnsiTheme="minorHAnsi" w:cstheme="minorHAnsi"/>
              </w:rPr>
              <w:t xml:space="preserve">Dyspnoea </w:t>
            </w:r>
          </w:p>
        </w:tc>
        <w:tc>
          <w:tcPr>
            <w:tcW w:w="2708" w:type="dxa"/>
          </w:tcPr>
          <w:p w14:paraId="2704081F" w14:textId="77777777" w:rsidR="007A1C71" w:rsidRPr="0028074F" w:rsidRDefault="007A1C71" w:rsidP="005E256C">
            <w:pPr>
              <w:pStyle w:val="Default"/>
              <w:rPr>
                <w:rFonts w:asciiTheme="minorHAnsi" w:hAnsiTheme="minorHAnsi" w:cstheme="minorHAnsi"/>
              </w:rPr>
            </w:pPr>
            <w:r w:rsidRPr="0028074F">
              <w:rPr>
                <w:rFonts w:asciiTheme="minorHAnsi" w:hAnsiTheme="minorHAnsi" w:cstheme="minorHAnsi"/>
              </w:rPr>
              <w:t xml:space="preserve">Common </w:t>
            </w:r>
          </w:p>
          <w:p w14:paraId="60B86560" w14:textId="77777777" w:rsidR="007A1C71" w:rsidRPr="0028074F" w:rsidRDefault="007A1C71" w:rsidP="005E256C">
            <w:pPr>
              <w:pStyle w:val="Default"/>
              <w:rPr>
                <w:rFonts w:asciiTheme="minorHAnsi" w:hAnsiTheme="minorHAnsi" w:cstheme="minorHAnsi"/>
              </w:rPr>
            </w:pPr>
            <w:r w:rsidRPr="0028074F">
              <w:rPr>
                <w:rFonts w:asciiTheme="minorHAnsi" w:hAnsiTheme="minorHAnsi" w:cstheme="minorHAnsi"/>
              </w:rPr>
              <w:t xml:space="preserve">Uncommon </w:t>
            </w:r>
          </w:p>
        </w:tc>
      </w:tr>
      <w:tr w:rsidR="007A1C71" w:rsidRPr="0028074F" w14:paraId="2CC56F83" w14:textId="77777777" w:rsidTr="005E256C">
        <w:trPr>
          <w:trHeight w:val="142"/>
        </w:trPr>
        <w:tc>
          <w:tcPr>
            <w:tcW w:w="2708" w:type="dxa"/>
          </w:tcPr>
          <w:p w14:paraId="70CE2ECD" w14:textId="77777777" w:rsidR="007A1C71" w:rsidRPr="0028074F" w:rsidRDefault="007A1C71" w:rsidP="005E256C">
            <w:pPr>
              <w:pStyle w:val="Default"/>
              <w:rPr>
                <w:rFonts w:asciiTheme="minorHAnsi" w:hAnsiTheme="minorHAnsi" w:cstheme="minorHAnsi"/>
                <w:lang w:val="en-US"/>
              </w:rPr>
            </w:pPr>
            <w:r w:rsidRPr="0028074F">
              <w:rPr>
                <w:rFonts w:asciiTheme="minorHAnsi" w:hAnsiTheme="minorHAnsi" w:cstheme="minorHAnsi"/>
                <w:lang w:val="en-US"/>
              </w:rPr>
              <w:t xml:space="preserve">General disorders and administration site conditions </w:t>
            </w:r>
          </w:p>
        </w:tc>
        <w:tc>
          <w:tcPr>
            <w:tcW w:w="2708" w:type="dxa"/>
          </w:tcPr>
          <w:p w14:paraId="30E65A72" w14:textId="77777777" w:rsidR="007A1C71" w:rsidRPr="0028074F" w:rsidRDefault="007A1C71" w:rsidP="005E256C">
            <w:pPr>
              <w:pStyle w:val="Default"/>
              <w:rPr>
                <w:rFonts w:asciiTheme="minorHAnsi" w:hAnsiTheme="minorHAnsi" w:cstheme="minorHAnsi"/>
                <w:lang w:val="en-US"/>
              </w:rPr>
            </w:pPr>
            <w:r w:rsidRPr="0028074F">
              <w:rPr>
                <w:rFonts w:asciiTheme="minorHAnsi" w:hAnsiTheme="minorHAnsi" w:cstheme="minorHAnsi"/>
                <w:lang w:val="en-US"/>
              </w:rPr>
              <w:t xml:space="preserve">Tiredness </w:t>
            </w:r>
          </w:p>
          <w:p w14:paraId="10289784" w14:textId="1ABDC65B" w:rsidR="007A1C71" w:rsidRPr="0028074F" w:rsidRDefault="007A1C71" w:rsidP="00805B67">
            <w:pPr>
              <w:pStyle w:val="Default"/>
              <w:rPr>
                <w:rFonts w:asciiTheme="minorHAnsi" w:hAnsiTheme="minorHAnsi" w:cstheme="minorHAnsi"/>
                <w:lang w:val="en-US"/>
              </w:rPr>
            </w:pPr>
            <w:r w:rsidRPr="0028074F">
              <w:rPr>
                <w:rFonts w:asciiTheme="minorHAnsi" w:hAnsiTheme="minorHAnsi" w:cstheme="minorHAnsi"/>
                <w:lang w:val="en-US"/>
              </w:rPr>
              <w:t xml:space="preserve">Asthenia, feeling abnormal </w:t>
            </w:r>
          </w:p>
        </w:tc>
        <w:tc>
          <w:tcPr>
            <w:tcW w:w="2708" w:type="dxa"/>
          </w:tcPr>
          <w:p w14:paraId="00495D1A" w14:textId="77777777" w:rsidR="007A1C71" w:rsidRPr="0028074F" w:rsidRDefault="007A1C71" w:rsidP="005E256C">
            <w:pPr>
              <w:pStyle w:val="Default"/>
              <w:rPr>
                <w:rFonts w:asciiTheme="minorHAnsi" w:hAnsiTheme="minorHAnsi" w:cstheme="minorHAnsi"/>
              </w:rPr>
            </w:pPr>
            <w:r w:rsidRPr="0028074F">
              <w:rPr>
                <w:rFonts w:asciiTheme="minorHAnsi" w:hAnsiTheme="minorHAnsi" w:cstheme="minorHAnsi"/>
              </w:rPr>
              <w:t xml:space="preserve">Very common </w:t>
            </w:r>
          </w:p>
          <w:p w14:paraId="19856020" w14:textId="77777777" w:rsidR="007A1C71" w:rsidRPr="0028074F" w:rsidRDefault="007A1C71" w:rsidP="005E256C">
            <w:pPr>
              <w:pStyle w:val="Default"/>
              <w:rPr>
                <w:rFonts w:asciiTheme="minorHAnsi" w:hAnsiTheme="minorHAnsi" w:cstheme="minorHAnsi"/>
              </w:rPr>
            </w:pPr>
            <w:r w:rsidRPr="0028074F">
              <w:rPr>
                <w:rFonts w:asciiTheme="minorHAnsi" w:hAnsiTheme="minorHAnsi" w:cstheme="minorHAnsi"/>
              </w:rPr>
              <w:t xml:space="preserve">Common </w:t>
            </w:r>
          </w:p>
        </w:tc>
      </w:tr>
      <w:tr w:rsidR="007A1C71" w:rsidRPr="0028074F" w14:paraId="18333DCC" w14:textId="77777777" w:rsidTr="005E256C">
        <w:trPr>
          <w:trHeight w:val="142"/>
        </w:trPr>
        <w:tc>
          <w:tcPr>
            <w:tcW w:w="2708" w:type="dxa"/>
          </w:tcPr>
          <w:p w14:paraId="2D53CC2A" w14:textId="77777777" w:rsidR="007A1C71" w:rsidRPr="0028074F" w:rsidRDefault="007A1C71" w:rsidP="005E256C">
            <w:pPr>
              <w:pStyle w:val="Default"/>
              <w:rPr>
                <w:rFonts w:asciiTheme="minorHAnsi" w:hAnsiTheme="minorHAnsi" w:cstheme="minorHAnsi"/>
              </w:rPr>
            </w:pPr>
            <w:r w:rsidRPr="0028074F">
              <w:rPr>
                <w:rFonts w:asciiTheme="minorHAnsi" w:hAnsiTheme="minorHAnsi" w:cstheme="minorHAnsi"/>
              </w:rPr>
              <w:t xml:space="preserve">Gastrointestinal disorders </w:t>
            </w:r>
          </w:p>
        </w:tc>
        <w:tc>
          <w:tcPr>
            <w:tcW w:w="2708" w:type="dxa"/>
          </w:tcPr>
          <w:p w14:paraId="02CC2F91" w14:textId="77777777" w:rsidR="007A1C71" w:rsidRPr="0028074F" w:rsidRDefault="007A1C71" w:rsidP="005E256C">
            <w:pPr>
              <w:pStyle w:val="Default"/>
              <w:rPr>
                <w:rFonts w:asciiTheme="minorHAnsi" w:hAnsiTheme="minorHAnsi" w:cstheme="minorHAnsi"/>
                <w:lang w:val="en-US"/>
              </w:rPr>
            </w:pPr>
            <w:r w:rsidRPr="0028074F">
              <w:rPr>
                <w:rFonts w:asciiTheme="minorHAnsi" w:hAnsiTheme="minorHAnsi" w:cstheme="minorHAnsi"/>
                <w:lang w:val="en-US"/>
              </w:rPr>
              <w:t xml:space="preserve">Nausea, constipation, diarrhoea, abdominal pain upper, dry mouth </w:t>
            </w:r>
          </w:p>
          <w:p w14:paraId="6E498C03" w14:textId="77777777" w:rsidR="007A1C71" w:rsidRPr="0028074F" w:rsidRDefault="007A1C71" w:rsidP="005E256C">
            <w:pPr>
              <w:pStyle w:val="Default"/>
              <w:rPr>
                <w:rFonts w:asciiTheme="minorHAnsi" w:hAnsiTheme="minorHAnsi" w:cstheme="minorHAnsi"/>
              </w:rPr>
            </w:pPr>
            <w:r w:rsidRPr="0028074F">
              <w:rPr>
                <w:rFonts w:asciiTheme="minorHAnsi" w:hAnsiTheme="minorHAnsi" w:cstheme="minorHAnsi"/>
              </w:rPr>
              <w:t xml:space="preserve">Flatulence, vomiting, hypoaesthesia oral </w:t>
            </w:r>
          </w:p>
        </w:tc>
        <w:tc>
          <w:tcPr>
            <w:tcW w:w="2708" w:type="dxa"/>
          </w:tcPr>
          <w:p w14:paraId="168D5418" w14:textId="77777777" w:rsidR="007A1C71" w:rsidRPr="0028074F" w:rsidRDefault="007A1C71" w:rsidP="005E256C">
            <w:pPr>
              <w:pStyle w:val="Default"/>
              <w:rPr>
                <w:rFonts w:asciiTheme="minorHAnsi" w:hAnsiTheme="minorHAnsi" w:cstheme="minorHAnsi"/>
              </w:rPr>
            </w:pPr>
            <w:r w:rsidRPr="0028074F">
              <w:rPr>
                <w:rFonts w:asciiTheme="minorHAnsi" w:hAnsiTheme="minorHAnsi" w:cstheme="minorHAnsi"/>
              </w:rPr>
              <w:t xml:space="preserve">Common </w:t>
            </w:r>
          </w:p>
          <w:p w14:paraId="46DFD0A5" w14:textId="77777777" w:rsidR="007A1C71" w:rsidRPr="0028074F" w:rsidRDefault="007A1C71" w:rsidP="005E256C">
            <w:pPr>
              <w:pStyle w:val="Default"/>
              <w:rPr>
                <w:rFonts w:asciiTheme="minorHAnsi" w:hAnsiTheme="minorHAnsi" w:cstheme="minorHAnsi"/>
              </w:rPr>
            </w:pPr>
          </w:p>
          <w:p w14:paraId="13541F10" w14:textId="77777777" w:rsidR="007A1C71" w:rsidRPr="0028074F" w:rsidRDefault="007A1C71" w:rsidP="005E256C">
            <w:pPr>
              <w:pStyle w:val="Default"/>
              <w:rPr>
                <w:rFonts w:asciiTheme="minorHAnsi" w:hAnsiTheme="minorHAnsi" w:cstheme="minorHAnsi"/>
              </w:rPr>
            </w:pPr>
          </w:p>
          <w:p w14:paraId="1D38697A" w14:textId="77777777" w:rsidR="007A1C71" w:rsidRPr="0028074F" w:rsidRDefault="007A1C71" w:rsidP="005E256C">
            <w:pPr>
              <w:pStyle w:val="Default"/>
              <w:rPr>
                <w:rFonts w:asciiTheme="minorHAnsi" w:hAnsiTheme="minorHAnsi" w:cstheme="minorHAnsi"/>
              </w:rPr>
            </w:pPr>
            <w:r w:rsidRPr="0028074F">
              <w:rPr>
                <w:rFonts w:asciiTheme="minorHAnsi" w:hAnsiTheme="minorHAnsi" w:cstheme="minorHAnsi"/>
              </w:rPr>
              <w:t xml:space="preserve">Uncommon </w:t>
            </w:r>
          </w:p>
        </w:tc>
      </w:tr>
      <w:tr w:rsidR="00805B67" w:rsidRPr="0028074F" w14:paraId="21D32D22" w14:textId="77777777" w:rsidTr="005E256C">
        <w:trPr>
          <w:trHeight w:val="142"/>
        </w:trPr>
        <w:tc>
          <w:tcPr>
            <w:tcW w:w="2708" w:type="dxa"/>
          </w:tcPr>
          <w:p w14:paraId="7B199D88" w14:textId="254C8F70" w:rsidR="00805B67" w:rsidRPr="0028074F" w:rsidRDefault="00805B67" w:rsidP="005E256C">
            <w:pPr>
              <w:pStyle w:val="Default"/>
              <w:rPr>
                <w:rFonts w:asciiTheme="minorHAnsi" w:hAnsiTheme="minorHAnsi" w:cstheme="minorHAnsi"/>
                <w:lang w:val="en-US"/>
              </w:rPr>
            </w:pPr>
            <w:r w:rsidRPr="0028074F">
              <w:rPr>
                <w:rFonts w:asciiTheme="minorHAnsi" w:hAnsiTheme="minorHAnsi" w:cstheme="minorHAnsi"/>
                <w:lang w:val="en-US"/>
              </w:rPr>
              <w:t>Musculoskeletal And Connective Tissue Disorders</w:t>
            </w:r>
          </w:p>
        </w:tc>
        <w:tc>
          <w:tcPr>
            <w:tcW w:w="2708" w:type="dxa"/>
          </w:tcPr>
          <w:p w14:paraId="20BD5E8D" w14:textId="5357A520" w:rsidR="00805B67" w:rsidRPr="0028074F" w:rsidRDefault="00805B67" w:rsidP="005E256C">
            <w:pPr>
              <w:pStyle w:val="Default"/>
              <w:rPr>
                <w:rFonts w:asciiTheme="minorHAnsi" w:hAnsiTheme="minorHAnsi" w:cstheme="minorHAnsi"/>
                <w:lang w:val="en-US"/>
              </w:rPr>
            </w:pPr>
            <w:r w:rsidRPr="0028074F">
              <w:rPr>
                <w:rFonts w:asciiTheme="minorHAnsi" w:hAnsiTheme="minorHAnsi" w:cstheme="minorHAnsi"/>
                <w:lang w:val="en-US"/>
              </w:rPr>
              <w:t>Muscular Weakness</w:t>
            </w:r>
          </w:p>
        </w:tc>
        <w:tc>
          <w:tcPr>
            <w:tcW w:w="2708" w:type="dxa"/>
          </w:tcPr>
          <w:p w14:paraId="1BE1003F" w14:textId="4983DC74" w:rsidR="00805B67" w:rsidRPr="0028074F" w:rsidRDefault="00805B67" w:rsidP="005E256C">
            <w:pPr>
              <w:pStyle w:val="Default"/>
              <w:rPr>
                <w:rFonts w:asciiTheme="minorHAnsi" w:hAnsiTheme="minorHAnsi" w:cstheme="minorHAnsi"/>
                <w:lang w:val="en-US"/>
              </w:rPr>
            </w:pPr>
            <w:r w:rsidRPr="0028074F">
              <w:rPr>
                <w:rFonts w:asciiTheme="minorHAnsi" w:hAnsiTheme="minorHAnsi" w:cstheme="minorHAnsi"/>
                <w:lang w:val="en-US"/>
              </w:rPr>
              <w:t>Common</w:t>
            </w:r>
          </w:p>
        </w:tc>
      </w:tr>
      <w:tr w:rsidR="007A1C71" w:rsidRPr="0028074F" w14:paraId="18E9C883" w14:textId="77777777" w:rsidTr="005E256C">
        <w:trPr>
          <w:trHeight w:val="142"/>
        </w:trPr>
        <w:tc>
          <w:tcPr>
            <w:tcW w:w="2708" w:type="dxa"/>
          </w:tcPr>
          <w:p w14:paraId="00D671BC" w14:textId="77777777" w:rsidR="007A1C71" w:rsidRPr="0028074F" w:rsidRDefault="007A1C71" w:rsidP="005E256C">
            <w:pPr>
              <w:pStyle w:val="Default"/>
              <w:rPr>
                <w:rFonts w:asciiTheme="minorHAnsi" w:hAnsiTheme="minorHAnsi" w:cstheme="minorHAnsi"/>
              </w:rPr>
            </w:pPr>
            <w:r w:rsidRPr="0028074F">
              <w:rPr>
                <w:rFonts w:asciiTheme="minorHAnsi" w:hAnsiTheme="minorHAnsi" w:cstheme="minorHAnsi"/>
              </w:rPr>
              <w:t xml:space="preserve">Metabolism and nutrition disorders </w:t>
            </w:r>
          </w:p>
        </w:tc>
        <w:tc>
          <w:tcPr>
            <w:tcW w:w="2708" w:type="dxa"/>
          </w:tcPr>
          <w:p w14:paraId="3DD5FCBC" w14:textId="77777777" w:rsidR="007A1C71" w:rsidRPr="0028074F" w:rsidRDefault="007A1C71" w:rsidP="005E256C">
            <w:pPr>
              <w:pStyle w:val="Default"/>
              <w:rPr>
                <w:rFonts w:asciiTheme="minorHAnsi" w:hAnsiTheme="minorHAnsi" w:cstheme="minorHAnsi"/>
                <w:lang w:val="en-US"/>
              </w:rPr>
            </w:pPr>
            <w:r w:rsidRPr="0028074F">
              <w:rPr>
                <w:rFonts w:asciiTheme="minorHAnsi" w:hAnsiTheme="minorHAnsi" w:cstheme="minorHAnsi"/>
                <w:lang w:val="en-US"/>
              </w:rPr>
              <w:t xml:space="preserve">Increased appetite, loss of appetite </w:t>
            </w:r>
          </w:p>
        </w:tc>
        <w:tc>
          <w:tcPr>
            <w:tcW w:w="2708" w:type="dxa"/>
          </w:tcPr>
          <w:p w14:paraId="554D7E0E" w14:textId="77777777" w:rsidR="007A1C71" w:rsidRPr="0028074F" w:rsidRDefault="007A1C71" w:rsidP="005E256C">
            <w:pPr>
              <w:pStyle w:val="Default"/>
              <w:rPr>
                <w:rFonts w:asciiTheme="minorHAnsi" w:hAnsiTheme="minorHAnsi" w:cstheme="minorHAnsi"/>
              </w:rPr>
            </w:pPr>
            <w:r w:rsidRPr="0028074F">
              <w:rPr>
                <w:rFonts w:asciiTheme="minorHAnsi" w:hAnsiTheme="minorHAnsi" w:cstheme="minorHAnsi"/>
              </w:rPr>
              <w:t xml:space="preserve">Common </w:t>
            </w:r>
          </w:p>
        </w:tc>
      </w:tr>
      <w:tr w:rsidR="007A1C71" w:rsidRPr="0028074F" w14:paraId="2F5A9FF0" w14:textId="77777777" w:rsidTr="005E256C">
        <w:trPr>
          <w:trHeight w:val="142"/>
        </w:trPr>
        <w:tc>
          <w:tcPr>
            <w:tcW w:w="2708" w:type="dxa"/>
          </w:tcPr>
          <w:p w14:paraId="5BBE12DE" w14:textId="77777777" w:rsidR="007A1C71" w:rsidRPr="0028074F" w:rsidRDefault="007A1C71" w:rsidP="005E256C">
            <w:pPr>
              <w:pStyle w:val="Default"/>
              <w:rPr>
                <w:rFonts w:asciiTheme="minorHAnsi" w:hAnsiTheme="minorHAnsi" w:cstheme="minorHAnsi"/>
                <w:lang w:val="en-US"/>
              </w:rPr>
            </w:pPr>
            <w:r w:rsidRPr="0028074F">
              <w:rPr>
                <w:rFonts w:asciiTheme="minorHAnsi" w:hAnsiTheme="minorHAnsi" w:cstheme="minorHAnsi"/>
                <w:lang w:val="en-US"/>
              </w:rPr>
              <w:t xml:space="preserve">Skin and subcutaneous tissue disorders </w:t>
            </w:r>
          </w:p>
        </w:tc>
        <w:tc>
          <w:tcPr>
            <w:tcW w:w="2708" w:type="dxa"/>
          </w:tcPr>
          <w:p w14:paraId="25E6C137" w14:textId="77777777" w:rsidR="007A1C71" w:rsidRPr="0028074F" w:rsidRDefault="007A1C71" w:rsidP="005E256C">
            <w:pPr>
              <w:pStyle w:val="Default"/>
              <w:rPr>
                <w:rFonts w:asciiTheme="minorHAnsi" w:hAnsiTheme="minorHAnsi" w:cstheme="minorHAnsi"/>
              </w:rPr>
            </w:pPr>
            <w:r w:rsidRPr="0028074F">
              <w:rPr>
                <w:rFonts w:asciiTheme="minorHAnsi" w:hAnsiTheme="minorHAnsi" w:cstheme="minorHAnsi"/>
              </w:rPr>
              <w:t xml:space="preserve">Sweating, local hypersensitivity reactions </w:t>
            </w:r>
          </w:p>
        </w:tc>
        <w:tc>
          <w:tcPr>
            <w:tcW w:w="2708" w:type="dxa"/>
          </w:tcPr>
          <w:p w14:paraId="208F2A68" w14:textId="77777777" w:rsidR="007A1C71" w:rsidRPr="0028074F" w:rsidRDefault="007A1C71" w:rsidP="005E256C">
            <w:pPr>
              <w:pStyle w:val="Default"/>
              <w:rPr>
                <w:rFonts w:asciiTheme="minorHAnsi" w:hAnsiTheme="minorHAnsi" w:cstheme="minorHAnsi"/>
              </w:rPr>
            </w:pPr>
            <w:r w:rsidRPr="0028074F">
              <w:rPr>
                <w:rFonts w:asciiTheme="minorHAnsi" w:hAnsiTheme="minorHAnsi" w:cstheme="minorHAnsi"/>
              </w:rPr>
              <w:t xml:space="preserve">Common </w:t>
            </w:r>
          </w:p>
        </w:tc>
      </w:tr>
      <w:tr w:rsidR="007A1C71" w:rsidRPr="0028074F" w14:paraId="007C4C32" w14:textId="77777777" w:rsidTr="005E256C">
        <w:trPr>
          <w:trHeight w:val="142"/>
        </w:trPr>
        <w:tc>
          <w:tcPr>
            <w:tcW w:w="2708" w:type="dxa"/>
          </w:tcPr>
          <w:p w14:paraId="42B690F4" w14:textId="77777777" w:rsidR="007A1C71" w:rsidRPr="0028074F" w:rsidRDefault="007A1C71" w:rsidP="005E256C">
            <w:pPr>
              <w:pStyle w:val="Default"/>
              <w:rPr>
                <w:rFonts w:asciiTheme="minorHAnsi" w:hAnsiTheme="minorHAnsi" w:cstheme="minorHAnsi"/>
              </w:rPr>
            </w:pPr>
            <w:r w:rsidRPr="0028074F">
              <w:rPr>
                <w:rFonts w:asciiTheme="minorHAnsi" w:hAnsiTheme="minorHAnsi" w:cstheme="minorHAnsi"/>
              </w:rPr>
              <w:t xml:space="preserve">Eye disorders </w:t>
            </w:r>
          </w:p>
        </w:tc>
        <w:tc>
          <w:tcPr>
            <w:tcW w:w="2708" w:type="dxa"/>
          </w:tcPr>
          <w:p w14:paraId="70E3C784" w14:textId="77777777" w:rsidR="007A1C71" w:rsidRPr="0028074F" w:rsidRDefault="007A1C71" w:rsidP="005E256C">
            <w:pPr>
              <w:pStyle w:val="Default"/>
              <w:rPr>
                <w:rFonts w:asciiTheme="minorHAnsi" w:hAnsiTheme="minorHAnsi" w:cstheme="minorHAnsi"/>
                <w:lang w:val="en-US"/>
              </w:rPr>
            </w:pPr>
            <w:r w:rsidRPr="0028074F">
              <w:rPr>
                <w:rFonts w:asciiTheme="minorHAnsi" w:hAnsiTheme="minorHAnsi" w:cstheme="minorHAnsi"/>
                <w:lang w:val="en-US"/>
              </w:rPr>
              <w:t xml:space="preserve">Pressure behind the eyes </w:t>
            </w:r>
          </w:p>
          <w:p w14:paraId="6D69FBDA" w14:textId="77777777" w:rsidR="007A1C71" w:rsidRPr="0028074F" w:rsidRDefault="007A1C71" w:rsidP="005E256C">
            <w:pPr>
              <w:pStyle w:val="Default"/>
              <w:rPr>
                <w:rFonts w:asciiTheme="minorHAnsi" w:hAnsiTheme="minorHAnsi" w:cstheme="minorHAnsi"/>
                <w:lang w:val="en-US"/>
              </w:rPr>
            </w:pPr>
            <w:r w:rsidRPr="0028074F">
              <w:rPr>
                <w:rFonts w:asciiTheme="minorHAnsi" w:hAnsiTheme="minorHAnsi" w:cstheme="minorHAnsi"/>
                <w:lang w:val="en-US"/>
              </w:rPr>
              <w:t xml:space="preserve">Dry eye, abnormal sensation in eye </w:t>
            </w:r>
          </w:p>
        </w:tc>
        <w:tc>
          <w:tcPr>
            <w:tcW w:w="2708" w:type="dxa"/>
          </w:tcPr>
          <w:p w14:paraId="15EFBF6D" w14:textId="77777777" w:rsidR="007A1C71" w:rsidRPr="0028074F" w:rsidRDefault="007A1C71" w:rsidP="005E256C">
            <w:pPr>
              <w:pStyle w:val="Default"/>
              <w:rPr>
                <w:rFonts w:asciiTheme="minorHAnsi" w:hAnsiTheme="minorHAnsi" w:cstheme="minorHAnsi"/>
              </w:rPr>
            </w:pPr>
            <w:r w:rsidRPr="0028074F">
              <w:rPr>
                <w:rFonts w:asciiTheme="minorHAnsi" w:hAnsiTheme="minorHAnsi" w:cstheme="minorHAnsi"/>
              </w:rPr>
              <w:t xml:space="preserve">Common </w:t>
            </w:r>
          </w:p>
          <w:p w14:paraId="298F7B5C" w14:textId="77777777" w:rsidR="007A1C71" w:rsidRPr="0028074F" w:rsidRDefault="007A1C71" w:rsidP="005E256C">
            <w:pPr>
              <w:pStyle w:val="Default"/>
              <w:rPr>
                <w:rFonts w:asciiTheme="minorHAnsi" w:hAnsiTheme="minorHAnsi" w:cstheme="minorHAnsi"/>
              </w:rPr>
            </w:pPr>
            <w:r w:rsidRPr="0028074F">
              <w:rPr>
                <w:rFonts w:asciiTheme="minorHAnsi" w:hAnsiTheme="minorHAnsi" w:cstheme="minorHAnsi"/>
              </w:rPr>
              <w:t xml:space="preserve">Uncommon </w:t>
            </w:r>
          </w:p>
        </w:tc>
      </w:tr>
    </w:tbl>
    <w:p w14:paraId="3B83D07D" w14:textId="2F550500" w:rsidR="007A1C71" w:rsidRPr="0028074F" w:rsidRDefault="002C1883" w:rsidP="002C1883">
      <w:pPr>
        <w:pStyle w:val="Default"/>
        <w:spacing w:before="40"/>
        <w:rPr>
          <w:rFonts w:asciiTheme="minorHAnsi" w:hAnsiTheme="minorHAnsi" w:cstheme="minorHAnsi"/>
          <w:lang w:val="en-US"/>
        </w:rPr>
      </w:pPr>
      <w:r w:rsidRPr="0028074F">
        <w:rPr>
          <w:rFonts w:asciiTheme="minorHAnsi" w:hAnsiTheme="minorHAnsi" w:cstheme="minorHAnsi"/>
          <w:b/>
          <w:lang w:val="en-US"/>
        </w:rPr>
        <w:t xml:space="preserve">Note: </w:t>
      </w:r>
      <w:r w:rsidR="007A1C71" w:rsidRPr="0028074F">
        <w:rPr>
          <w:rFonts w:asciiTheme="minorHAnsi" w:hAnsiTheme="minorHAnsi" w:cstheme="minorHAnsi"/>
          <w:b/>
          <w:lang w:val="en-US"/>
        </w:rPr>
        <w:t xml:space="preserve"> </w:t>
      </w:r>
      <w:r w:rsidRPr="0028074F">
        <w:rPr>
          <w:rFonts w:asciiTheme="minorHAnsi" w:hAnsiTheme="minorHAnsi" w:cstheme="minorHAnsi"/>
          <w:lang w:val="en-US"/>
        </w:rPr>
        <w:t>The following frequency categories are used for the evaluation of these adverse reactions: Very common (≥ 1/10), Common (≥ 1/100 to &lt; 1/10), Uncommon (≥ 1/1,000 to &lt; 1/100). Source: investigator brochure (</w:t>
      </w:r>
      <w:r w:rsidR="007A1C71" w:rsidRPr="0028074F">
        <w:rPr>
          <w:rFonts w:asciiTheme="minorHAnsi" w:hAnsiTheme="minorHAnsi" w:cstheme="minorHAnsi"/>
          <w:lang w:val="en-US"/>
        </w:rPr>
        <w:t>IB</w:t>
      </w:r>
      <w:r w:rsidRPr="0028074F">
        <w:rPr>
          <w:rFonts w:asciiTheme="minorHAnsi" w:hAnsiTheme="minorHAnsi" w:cstheme="minorHAnsi"/>
          <w:lang w:val="en-US"/>
        </w:rPr>
        <w:t>)</w:t>
      </w:r>
      <w:r w:rsidR="007A1C71" w:rsidRPr="0028074F">
        <w:rPr>
          <w:rFonts w:asciiTheme="minorHAnsi" w:hAnsiTheme="minorHAnsi" w:cstheme="minorHAnsi"/>
          <w:lang w:val="en-US"/>
        </w:rPr>
        <w:t xml:space="preserve"> of BX-1, Ed.</w:t>
      </w:r>
      <w:r w:rsidR="00805B67" w:rsidRPr="0028074F">
        <w:rPr>
          <w:rFonts w:asciiTheme="minorHAnsi" w:hAnsiTheme="minorHAnsi" w:cstheme="minorHAnsi"/>
          <w:lang w:val="en-US"/>
        </w:rPr>
        <w:t>4</w:t>
      </w:r>
      <w:r w:rsidR="007A1C71" w:rsidRPr="0028074F">
        <w:rPr>
          <w:rFonts w:asciiTheme="minorHAnsi" w:hAnsiTheme="minorHAnsi" w:cstheme="minorHAnsi"/>
          <w:lang w:val="en-US"/>
        </w:rPr>
        <w:t xml:space="preserve">.0, </w:t>
      </w:r>
      <w:r w:rsidR="00805B67" w:rsidRPr="0028074F">
        <w:rPr>
          <w:rFonts w:asciiTheme="minorHAnsi" w:hAnsiTheme="minorHAnsi" w:cstheme="minorHAnsi"/>
          <w:lang w:val="en-US"/>
        </w:rPr>
        <w:t>30</w:t>
      </w:r>
      <w:r w:rsidR="007A1C71" w:rsidRPr="0028074F">
        <w:rPr>
          <w:rFonts w:asciiTheme="minorHAnsi" w:hAnsiTheme="minorHAnsi" w:cstheme="minorHAnsi"/>
          <w:lang w:val="en-US"/>
        </w:rPr>
        <w:t>.Sep 20</w:t>
      </w:r>
      <w:r w:rsidR="00805B67" w:rsidRPr="0028074F">
        <w:rPr>
          <w:rFonts w:asciiTheme="minorHAnsi" w:hAnsiTheme="minorHAnsi" w:cstheme="minorHAnsi"/>
          <w:lang w:val="en-US"/>
        </w:rPr>
        <w:t>20</w:t>
      </w:r>
      <w:r w:rsidR="007A1C71" w:rsidRPr="0028074F">
        <w:rPr>
          <w:rFonts w:asciiTheme="minorHAnsi" w:hAnsiTheme="minorHAnsi" w:cstheme="minorHAnsi"/>
          <w:lang w:val="en-US"/>
        </w:rPr>
        <w:t>; please refer to table 9 of the IB</w:t>
      </w:r>
      <w:r w:rsidRPr="0028074F">
        <w:rPr>
          <w:rFonts w:asciiTheme="minorHAnsi" w:hAnsiTheme="minorHAnsi" w:cstheme="minorHAnsi"/>
          <w:lang w:val="en-US"/>
        </w:rPr>
        <w:t xml:space="preserve">. </w:t>
      </w:r>
    </w:p>
    <w:p w14:paraId="5FA22496" w14:textId="77777777" w:rsidR="000C3D8D" w:rsidRPr="0028074F" w:rsidRDefault="000C3D8D" w:rsidP="002C1883">
      <w:pPr>
        <w:jc w:val="both"/>
        <w:rPr>
          <w:rFonts w:cstheme="minorHAnsi"/>
          <w:sz w:val="24"/>
          <w:szCs w:val="24"/>
          <w:lang w:val="en-US"/>
        </w:rPr>
      </w:pPr>
    </w:p>
    <w:p w14:paraId="6D73C847" w14:textId="78E0B58F" w:rsidR="002C1883" w:rsidRPr="0028074F" w:rsidRDefault="000C3D8D" w:rsidP="002C1883">
      <w:pPr>
        <w:jc w:val="both"/>
        <w:rPr>
          <w:rFonts w:cstheme="minorHAnsi"/>
          <w:sz w:val="24"/>
          <w:szCs w:val="24"/>
          <w:lang w:val="en-US"/>
        </w:rPr>
      </w:pPr>
      <w:r w:rsidRPr="0028074F">
        <w:rPr>
          <w:rFonts w:cstheme="minorHAnsi"/>
          <w:sz w:val="24"/>
          <w:szCs w:val="24"/>
          <w:lang w:val="en-US"/>
        </w:rPr>
        <w:t>D</w:t>
      </w:r>
      <w:r w:rsidR="002C1883" w:rsidRPr="0028074F">
        <w:rPr>
          <w:rFonts w:cstheme="minorHAnsi"/>
          <w:sz w:val="24"/>
          <w:szCs w:val="24"/>
          <w:lang w:val="en-US"/>
        </w:rPr>
        <w:t xml:space="preserve">ue to the known effects of dronabinol, BX-1 should be administered with caution to patients with mania, depression or schizophrenia, heart diseases, history of seizure-related diseases and history of substance abuse. There might be additional or synergistic effects on central nervous system adverse reactions in patients treated concomitantly with sedative, hypnotic or other psychoactive medicinal products. BX-1 is not intended for the use in pregnant or breastfeeding women. </w:t>
      </w:r>
    </w:p>
    <w:p w14:paraId="1E8310CC" w14:textId="77777777" w:rsidR="002C1883" w:rsidRPr="0028074F" w:rsidRDefault="002C1883" w:rsidP="002C1883">
      <w:pPr>
        <w:jc w:val="both"/>
        <w:rPr>
          <w:rFonts w:cstheme="minorHAnsi"/>
          <w:sz w:val="24"/>
          <w:szCs w:val="24"/>
          <w:lang w:val="en-US"/>
        </w:rPr>
      </w:pPr>
      <w:r w:rsidRPr="0028074F">
        <w:rPr>
          <w:rFonts w:cstheme="minorHAnsi"/>
          <w:sz w:val="24"/>
          <w:szCs w:val="24"/>
          <w:lang w:val="en-US"/>
        </w:rPr>
        <w:t>In order to minimize the risk for patients, patient groups with a significant risk are excluded from trial participation.</w:t>
      </w:r>
    </w:p>
    <w:p w14:paraId="1137E5FB" w14:textId="77777777" w:rsidR="002C1883" w:rsidRPr="0028074F" w:rsidRDefault="002C1883" w:rsidP="002C1883">
      <w:pPr>
        <w:jc w:val="both"/>
        <w:rPr>
          <w:rFonts w:cstheme="minorHAnsi"/>
          <w:sz w:val="24"/>
          <w:szCs w:val="24"/>
          <w:lang w:val="en-GB"/>
        </w:rPr>
      </w:pPr>
      <w:r w:rsidRPr="0028074F">
        <w:rPr>
          <w:rFonts w:cstheme="minorHAnsi"/>
          <w:sz w:val="24"/>
          <w:szCs w:val="24"/>
          <w:lang w:val="en-GB"/>
        </w:rPr>
        <w:t>In addition to the risks related to the investigational medicinal product, there is a trial procedure related risk. Blood sampling might be painful, or the patients might temporarily become dizzy. Patients may also experience intermittent complaints like re-bleeding or puncture site bruises, blood clot (thrombus) in the punctured vessel (rarely), puncture site infections (rarely) or mechanical nerve damage (very rarely). After initial irritation, vein puncturing for blood sampling is usually painless and hardly noticeable.</w:t>
      </w:r>
    </w:p>
    <w:p w14:paraId="287E9285" w14:textId="77777777" w:rsidR="002C1883" w:rsidRPr="0028074F" w:rsidRDefault="002C1883" w:rsidP="002C1883">
      <w:pPr>
        <w:jc w:val="both"/>
        <w:rPr>
          <w:rFonts w:cstheme="minorHAnsi"/>
          <w:sz w:val="24"/>
          <w:szCs w:val="24"/>
          <w:lang w:val="en-GB"/>
        </w:rPr>
      </w:pPr>
      <w:r w:rsidRPr="0028074F">
        <w:rPr>
          <w:rFonts w:cstheme="minorHAnsi"/>
          <w:sz w:val="24"/>
          <w:szCs w:val="24"/>
          <w:lang w:val="en-GB"/>
        </w:rPr>
        <w:t xml:space="preserve">The total volume of blood sampling during the entire clinical trial will be approximately 18 ml within approximately 14 weeks and is far below the volume of a normal blood donation. However, in single cases it might be necessary to repeat single blood sampling, e.g. an additional sample has to be taken due to re-measurements of clinical laboratory samples or </w:t>
      </w:r>
      <w:r w:rsidRPr="0028074F">
        <w:rPr>
          <w:rFonts w:cstheme="minorHAnsi"/>
          <w:sz w:val="24"/>
          <w:szCs w:val="24"/>
          <w:lang w:val="en-GB"/>
        </w:rPr>
        <w:lastRenderedPageBreak/>
        <w:t>due to bad vein conditions and a new sample must be taken from another vein, etc. Thus, the total blood volume may deviate in singles cases by a small amount. No safety related risk is expected from this blood sampling.</w:t>
      </w:r>
    </w:p>
    <w:p w14:paraId="7CDC30F6" w14:textId="77777777" w:rsidR="002C1883" w:rsidRPr="0028074F" w:rsidRDefault="002C1883" w:rsidP="002C1883">
      <w:pPr>
        <w:jc w:val="both"/>
        <w:rPr>
          <w:rFonts w:cstheme="minorHAnsi"/>
          <w:sz w:val="24"/>
          <w:szCs w:val="24"/>
          <w:highlight w:val="yellow"/>
          <w:lang w:val="en-GB"/>
        </w:rPr>
      </w:pPr>
      <w:r w:rsidRPr="0028074F">
        <w:rPr>
          <w:rFonts w:cstheme="minorHAnsi"/>
          <w:sz w:val="24"/>
          <w:szCs w:val="24"/>
          <w:lang w:val="en-GB"/>
        </w:rPr>
        <w:t>In case of emergency, standard emergency procedures will be employed. The responsible investigator is to be consulted and informed immediately. He/she will provide all the necessary emergency equipment and specially trained staff to handle emergency events during this clinical trial. All cases of emergency have to be immediately reported as required to the sponsor comprising legal stipulations.</w:t>
      </w:r>
    </w:p>
    <w:p w14:paraId="4AFBD92A" w14:textId="77777777" w:rsidR="0028074F" w:rsidRDefault="0028074F">
      <w:pPr>
        <w:rPr>
          <w:rFonts w:cstheme="minorHAnsi"/>
          <w:sz w:val="24"/>
          <w:szCs w:val="24"/>
          <w:u w:val="single"/>
          <w:lang w:val="en-GB"/>
        </w:rPr>
      </w:pPr>
    </w:p>
    <w:p w14:paraId="3C50432C" w14:textId="69DFD504" w:rsidR="007A41A4" w:rsidRPr="0028074F" w:rsidRDefault="007A41A4">
      <w:pPr>
        <w:rPr>
          <w:rFonts w:cstheme="minorHAnsi"/>
          <w:sz w:val="24"/>
          <w:szCs w:val="24"/>
          <w:u w:val="single"/>
          <w:lang w:val="en-GB"/>
        </w:rPr>
      </w:pPr>
      <w:r w:rsidRPr="0028074F">
        <w:rPr>
          <w:rFonts w:cstheme="minorHAnsi"/>
          <w:sz w:val="24"/>
          <w:szCs w:val="24"/>
          <w:u w:val="single"/>
          <w:lang w:val="en-GB"/>
        </w:rPr>
        <w:t>Definitions of AE, SAE, and SUSAR</w:t>
      </w:r>
    </w:p>
    <w:p w14:paraId="44F4A1BC" w14:textId="77777777" w:rsidR="002C1883" w:rsidRPr="0028074F" w:rsidRDefault="002C1883" w:rsidP="002C1883">
      <w:pPr>
        <w:keepNext/>
        <w:keepLines/>
        <w:spacing w:before="120"/>
        <w:jc w:val="both"/>
        <w:rPr>
          <w:rStyle w:val="Standard1"/>
          <w:rFonts w:cstheme="minorHAnsi"/>
          <w:b/>
          <w:bCs/>
          <w:sz w:val="24"/>
          <w:szCs w:val="24"/>
          <w:lang w:val="en-GB"/>
        </w:rPr>
      </w:pPr>
      <w:bookmarkStart w:id="0" w:name="_Toc156985669"/>
      <w:bookmarkStart w:id="1" w:name="_Toc160004686"/>
      <w:bookmarkStart w:id="2" w:name="_Toc160006227"/>
      <w:bookmarkStart w:id="3" w:name="_Toc160532885"/>
      <w:r w:rsidRPr="0028074F">
        <w:rPr>
          <w:rStyle w:val="Standard1"/>
          <w:rFonts w:cstheme="minorHAnsi"/>
          <w:b/>
          <w:sz w:val="24"/>
          <w:szCs w:val="24"/>
          <w:lang w:val="en-GB"/>
        </w:rPr>
        <w:t>Adverse Event (AE)</w:t>
      </w:r>
      <w:bookmarkEnd w:id="0"/>
      <w:bookmarkEnd w:id="1"/>
      <w:bookmarkEnd w:id="2"/>
      <w:bookmarkEnd w:id="3"/>
    </w:p>
    <w:p w14:paraId="6B3D44DF" w14:textId="3E07E64F" w:rsidR="002C1883" w:rsidRPr="0028074F" w:rsidRDefault="002C1883" w:rsidP="000C3D8D">
      <w:pPr>
        <w:keepNext/>
        <w:keepLines/>
        <w:autoSpaceDE w:val="0"/>
        <w:autoSpaceDN w:val="0"/>
        <w:adjustRightInd w:val="0"/>
        <w:jc w:val="both"/>
        <w:rPr>
          <w:rFonts w:cstheme="minorHAnsi"/>
          <w:i/>
          <w:sz w:val="24"/>
          <w:szCs w:val="24"/>
          <w:lang w:val="en-GB"/>
        </w:rPr>
      </w:pPr>
      <w:r w:rsidRPr="0028074F">
        <w:rPr>
          <w:rFonts w:cstheme="minorHAnsi"/>
          <w:sz w:val="24"/>
          <w:szCs w:val="24"/>
          <w:lang w:val="en-GB"/>
        </w:rPr>
        <w:t>An adverse event is any untoward medical occurrence in a patient or clinical trial subject administered a medicinal product and which does not necessarily have a causal relationship with this treatment.</w:t>
      </w:r>
      <w:r w:rsidR="000C3D8D" w:rsidRPr="0028074F">
        <w:rPr>
          <w:rFonts w:cstheme="minorHAnsi"/>
          <w:sz w:val="24"/>
          <w:szCs w:val="24"/>
          <w:lang w:val="en-GB"/>
        </w:rPr>
        <w:t xml:space="preserve"> </w:t>
      </w:r>
      <w:r w:rsidRPr="0028074F">
        <w:rPr>
          <w:rFonts w:cstheme="minorHAnsi"/>
          <w:sz w:val="24"/>
          <w:szCs w:val="24"/>
          <w:lang w:val="en-GB"/>
        </w:rPr>
        <w:t>An AE could be diseases, signs or symptoms which occur or worsen after enrolment of the patient in the clinical trial.</w:t>
      </w:r>
    </w:p>
    <w:p w14:paraId="062B74E0" w14:textId="77777777" w:rsidR="002C1883" w:rsidRPr="0028074F" w:rsidRDefault="002C1883" w:rsidP="002C1883">
      <w:pPr>
        <w:jc w:val="both"/>
        <w:rPr>
          <w:rFonts w:cstheme="minorHAnsi"/>
          <w:b/>
          <w:sz w:val="24"/>
          <w:szCs w:val="24"/>
          <w:lang w:val="en-GB"/>
        </w:rPr>
      </w:pPr>
      <w:r w:rsidRPr="0028074F">
        <w:rPr>
          <w:rFonts w:cstheme="minorHAnsi"/>
          <w:b/>
          <w:sz w:val="24"/>
          <w:szCs w:val="24"/>
          <w:lang w:val="en-GB"/>
        </w:rPr>
        <w:t>Serious Adverse Event (SAE)</w:t>
      </w:r>
    </w:p>
    <w:p w14:paraId="686D42D2" w14:textId="49F92203" w:rsidR="002C1883" w:rsidRPr="0028074F" w:rsidRDefault="002C1883" w:rsidP="000C3D8D">
      <w:pPr>
        <w:autoSpaceDE w:val="0"/>
        <w:autoSpaceDN w:val="0"/>
        <w:adjustRightInd w:val="0"/>
        <w:jc w:val="both"/>
        <w:rPr>
          <w:rFonts w:cstheme="minorHAnsi"/>
          <w:b/>
          <w:sz w:val="24"/>
          <w:szCs w:val="24"/>
          <w:lang w:val="en-GB"/>
        </w:rPr>
      </w:pPr>
      <w:r w:rsidRPr="0028074F">
        <w:rPr>
          <w:rFonts w:cstheme="minorHAnsi"/>
          <w:sz w:val="24"/>
          <w:szCs w:val="24"/>
          <w:lang w:val="en-GB"/>
        </w:rPr>
        <w:t>A ‘serious adverse event or serious adverse reaction’ is any untoward medical occurrence or effect that at any dose</w:t>
      </w:r>
      <w:r w:rsidR="000C3D8D" w:rsidRPr="0028074F">
        <w:rPr>
          <w:rFonts w:cstheme="minorHAnsi"/>
          <w:sz w:val="24"/>
          <w:szCs w:val="24"/>
          <w:lang w:val="en-GB"/>
        </w:rPr>
        <w:t xml:space="preserve">: </w:t>
      </w:r>
      <w:r w:rsidRPr="0028074F">
        <w:rPr>
          <w:rFonts w:cstheme="minorHAnsi"/>
          <w:sz w:val="24"/>
          <w:szCs w:val="24"/>
          <w:lang w:val="en-GB"/>
        </w:rPr>
        <w:t>results in death,</w:t>
      </w:r>
      <w:r w:rsidR="000C3D8D" w:rsidRPr="0028074F">
        <w:rPr>
          <w:rFonts w:cstheme="minorHAnsi"/>
          <w:sz w:val="24"/>
          <w:szCs w:val="24"/>
          <w:lang w:val="en-GB"/>
        </w:rPr>
        <w:t xml:space="preserve"> </w:t>
      </w:r>
      <w:r w:rsidRPr="0028074F">
        <w:rPr>
          <w:rFonts w:cstheme="minorHAnsi"/>
          <w:sz w:val="24"/>
          <w:szCs w:val="24"/>
          <w:lang w:val="en-GB"/>
        </w:rPr>
        <w:t>is life-threatening,</w:t>
      </w:r>
      <w:r w:rsidR="000C3D8D" w:rsidRPr="0028074F">
        <w:rPr>
          <w:rFonts w:cstheme="minorHAnsi"/>
          <w:sz w:val="24"/>
          <w:szCs w:val="24"/>
          <w:lang w:val="en-GB"/>
        </w:rPr>
        <w:t xml:space="preserve"> </w:t>
      </w:r>
      <w:r w:rsidRPr="0028074F">
        <w:rPr>
          <w:rFonts w:cstheme="minorHAnsi"/>
          <w:sz w:val="24"/>
          <w:szCs w:val="24"/>
          <w:lang w:val="en-GB"/>
        </w:rPr>
        <w:t>requires hospitalisation or prolongation of existing hospitalisation,</w:t>
      </w:r>
      <w:r w:rsidR="000C3D8D" w:rsidRPr="0028074F">
        <w:rPr>
          <w:rFonts w:cstheme="minorHAnsi"/>
          <w:sz w:val="24"/>
          <w:szCs w:val="24"/>
          <w:lang w:val="en-GB"/>
        </w:rPr>
        <w:t xml:space="preserve"> </w:t>
      </w:r>
      <w:r w:rsidRPr="0028074F">
        <w:rPr>
          <w:rFonts w:cstheme="minorHAnsi"/>
          <w:sz w:val="24"/>
          <w:szCs w:val="24"/>
          <w:lang w:val="en-GB"/>
        </w:rPr>
        <w:t>results in persistent or significant disability or incapacity,</w:t>
      </w:r>
      <w:r w:rsidR="000C3D8D" w:rsidRPr="0028074F">
        <w:rPr>
          <w:rFonts w:cstheme="minorHAnsi"/>
          <w:sz w:val="24"/>
          <w:szCs w:val="24"/>
          <w:lang w:val="en-GB"/>
        </w:rPr>
        <w:t xml:space="preserve"> </w:t>
      </w:r>
      <w:r w:rsidRPr="0028074F">
        <w:rPr>
          <w:rFonts w:cstheme="minorHAnsi"/>
          <w:sz w:val="24"/>
          <w:szCs w:val="24"/>
          <w:lang w:val="en-GB"/>
        </w:rPr>
        <w:t>or is a congenital anomaly or birth defect;</w:t>
      </w:r>
      <w:r w:rsidR="000C3D8D" w:rsidRPr="0028074F">
        <w:rPr>
          <w:rFonts w:cstheme="minorHAnsi"/>
          <w:sz w:val="24"/>
          <w:szCs w:val="24"/>
          <w:lang w:val="en-GB"/>
        </w:rPr>
        <w:t xml:space="preserve"> </w:t>
      </w:r>
      <w:r w:rsidRPr="0028074F">
        <w:rPr>
          <w:rFonts w:cstheme="minorHAnsi"/>
          <w:sz w:val="24"/>
          <w:szCs w:val="24"/>
          <w:lang w:val="en-GB"/>
        </w:rPr>
        <w:t>other medically important event</w:t>
      </w:r>
      <w:r w:rsidR="000C3D8D" w:rsidRPr="0028074F">
        <w:rPr>
          <w:rFonts w:cstheme="minorHAnsi"/>
          <w:sz w:val="24"/>
          <w:szCs w:val="24"/>
          <w:lang w:val="en-GB"/>
        </w:rPr>
        <w:t xml:space="preserve">. </w:t>
      </w:r>
      <w:r w:rsidRPr="0028074F">
        <w:rPr>
          <w:rFonts w:cstheme="minorHAnsi"/>
          <w:sz w:val="24"/>
          <w:szCs w:val="24"/>
          <w:lang w:val="en-GB"/>
        </w:rPr>
        <w:t xml:space="preserve"> </w:t>
      </w:r>
      <w:bookmarkStart w:id="4" w:name="_Toc202866292"/>
      <w:bookmarkStart w:id="5" w:name="_Toc156985671"/>
      <w:bookmarkStart w:id="6" w:name="_Toc160004688"/>
      <w:bookmarkStart w:id="7" w:name="_Toc160006229"/>
      <w:bookmarkStart w:id="8" w:name="_Toc160532887"/>
    </w:p>
    <w:p w14:paraId="42A95053" w14:textId="77777777" w:rsidR="002C1883" w:rsidRPr="0028074F" w:rsidRDefault="002C1883" w:rsidP="002C1883">
      <w:pPr>
        <w:jc w:val="both"/>
        <w:rPr>
          <w:rFonts w:cstheme="minorHAnsi"/>
          <w:b/>
          <w:sz w:val="24"/>
          <w:szCs w:val="24"/>
          <w:lang w:val="en-GB"/>
        </w:rPr>
      </w:pPr>
      <w:r w:rsidRPr="0028074F">
        <w:rPr>
          <w:rFonts w:cstheme="minorHAnsi"/>
          <w:b/>
          <w:sz w:val="24"/>
          <w:szCs w:val="24"/>
          <w:lang w:val="en-GB"/>
        </w:rPr>
        <w:t>Adverse Reactions</w:t>
      </w:r>
      <w:bookmarkEnd w:id="4"/>
    </w:p>
    <w:p w14:paraId="747B586A" w14:textId="77777777" w:rsidR="002C1883" w:rsidRPr="0028074F" w:rsidRDefault="002C1883" w:rsidP="002C1883">
      <w:pPr>
        <w:jc w:val="both"/>
        <w:rPr>
          <w:rFonts w:cstheme="minorHAnsi"/>
          <w:sz w:val="24"/>
          <w:szCs w:val="24"/>
          <w:lang w:val="en-GB"/>
        </w:rPr>
      </w:pPr>
      <w:r w:rsidRPr="0028074F">
        <w:rPr>
          <w:rFonts w:cstheme="minorHAnsi"/>
          <w:sz w:val="24"/>
          <w:szCs w:val="24"/>
          <w:lang w:val="en-GB"/>
        </w:rPr>
        <w:t>Adverse reactions are all untoward and unintended responses to an investigational medicinal product related to any dose administered.</w:t>
      </w:r>
    </w:p>
    <w:p w14:paraId="6ADA0BAC" w14:textId="77777777" w:rsidR="002C1883" w:rsidRPr="0028074F" w:rsidRDefault="002C1883" w:rsidP="002C1883">
      <w:pPr>
        <w:jc w:val="both"/>
        <w:rPr>
          <w:rFonts w:cstheme="minorHAnsi"/>
          <w:b/>
          <w:sz w:val="24"/>
          <w:szCs w:val="24"/>
          <w:lang w:val="en-GB"/>
        </w:rPr>
      </w:pPr>
      <w:bookmarkStart w:id="9" w:name="_Toc202866293"/>
      <w:r w:rsidRPr="0028074F">
        <w:rPr>
          <w:rFonts w:cstheme="minorHAnsi"/>
          <w:b/>
          <w:sz w:val="24"/>
          <w:szCs w:val="24"/>
          <w:lang w:val="en-GB"/>
        </w:rPr>
        <w:t>Suspected Unexpected Serious Adverse Reactions (SUSAR)</w:t>
      </w:r>
      <w:bookmarkEnd w:id="9"/>
    </w:p>
    <w:p w14:paraId="34A026AF" w14:textId="77777777" w:rsidR="000C3D8D" w:rsidRPr="0028074F" w:rsidRDefault="002C1883" w:rsidP="000C3D8D">
      <w:pPr>
        <w:jc w:val="both"/>
        <w:rPr>
          <w:rFonts w:cstheme="minorHAnsi"/>
          <w:sz w:val="24"/>
          <w:szCs w:val="24"/>
          <w:lang w:val="en-GB"/>
        </w:rPr>
      </w:pPr>
      <w:r w:rsidRPr="0028074F">
        <w:rPr>
          <w:rFonts w:cstheme="minorHAnsi"/>
          <w:sz w:val="24"/>
          <w:szCs w:val="24"/>
          <w:lang w:val="en-GB"/>
        </w:rPr>
        <w:t>A Suspected Unexpected Serious Adverse Reaction (SUSAR) is any suspected adverse reaction related to the study treatment that is both serious and unexpected.</w:t>
      </w:r>
      <w:r w:rsidR="000C3D8D" w:rsidRPr="0028074F">
        <w:rPr>
          <w:rFonts w:cstheme="minorHAnsi"/>
          <w:sz w:val="24"/>
          <w:szCs w:val="24"/>
          <w:lang w:val="en-GB"/>
        </w:rPr>
        <w:t xml:space="preserve"> </w:t>
      </w:r>
      <w:r w:rsidRPr="0028074F">
        <w:rPr>
          <w:rFonts w:cstheme="minorHAnsi"/>
          <w:sz w:val="24"/>
          <w:szCs w:val="24"/>
          <w:lang w:val="en-GB"/>
        </w:rPr>
        <w:t>“Unexpected” means that the nature and severity of the adverse reaction are not consistent with the information about the study medication in question set out in the reference safety information.</w:t>
      </w:r>
      <w:bookmarkEnd w:id="5"/>
      <w:bookmarkEnd w:id="6"/>
      <w:bookmarkEnd w:id="7"/>
      <w:bookmarkEnd w:id="8"/>
      <w:r w:rsidR="000C3D8D" w:rsidRPr="0028074F">
        <w:rPr>
          <w:rFonts w:cstheme="minorHAnsi"/>
          <w:sz w:val="24"/>
          <w:szCs w:val="24"/>
          <w:lang w:val="en-GB"/>
        </w:rPr>
        <w:t xml:space="preserve"> </w:t>
      </w:r>
      <w:r w:rsidRPr="0028074F">
        <w:rPr>
          <w:rFonts w:cstheme="minorHAnsi"/>
          <w:sz w:val="24"/>
          <w:szCs w:val="24"/>
          <w:lang w:val="en-GB"/>
        </w:rPr>
        <w:t xml:space="preserve">The evaluation of expectedness will be done by the sponsor. </w:t>
      </w:r>
      <w:bookmarkStart w:id="10" w:name="_Toc202866294"/>
      <w:bookmarkStart w:id="11" w:name="_Toc28868152"/>
      <w:bookmarkStart w:id="12" w:name="_Toc28870004"/>
      <w:bookmarkStart w:id="13" w:name="_Toc31039087"/>
    </w:p>
    <w:p w14:paraId="26F96236" w14:textId="77777777" w:rsidR="000C3D8D" w:rsidRPr="0028074F" w:rsidRDefault="002C1883" w:rsidP="000C3D8D">
      <w:pPr>
        <w:jc w:val="both"/>
        <w:rPr>
          <w:rFonts w:cstheme="minorHAnsi"/>
          <w:b/>
          <w:bCs/>
          <w:sz w:val="24"/>
          <w:szCs w:val="24"/>
          <w:lang w:val="en-GB"/>
        </w:rPr>
      </w:pPr>
      <w:r w:rsidRPr="0028074F">
        <w:rPr>
          <w:rFonts w:cstheme="minorHAnsi"/>
          <w:b/>
          <w:bCs/>
          <w:sz w:val="24"/>
          <w:szCs w:val="24"/>
          <w:lang w:val="en-GB"/>
        </w:rPr>
        <w:t>Treatment of (S)AEs</w:t>
      </w:r>
      <w:bookmarkStart w:id="14" w:name="_Toc202866295"/>
      <w:bookmarkEnd w:id="10"/>
      <w:bookmarkEnd w:id="11"/>
      <w:bookmarkEnd w:id="12"/>
      <w:bookmarkEnd w:id="13"/>
    </w:p>
    <w:p w14:paraId="0DAD89EE" w14:textId="00570F7A" w:rsidR="000C3D8D" w:rsidRPr="0028074F" w:rsidRDefault="002C1883" w:rsidP="000C3D8D">
      <w:pPr>
        <w:jc w:val="both"/>
        <w:rPr>
          <w:rFonts w:cstheme="minorHAnsi"/>
          <w:b/>
          <w:bCs/>
          <w:sz w:val="24"/>
          <w:szCs w:val="24"/>
          <w:lang w:val="en-GB"/>
        </w:rPr>
      </w:pPr>
      <w:r w:rsidRPr="0028074F">
        <w:rPr>
          <w:rFonts w:cstheme="minorHAnsi"/>
          <w:sz w:val="24"/>
          <w:szCs w:val="24"/>
          <w:lang w:val="en-GB"/>
        </w:rPr>
        <w:t>All AEs should be treated appropriately. Such treatment may include changes in study drug treatment including possible interruption or discontinuation, starting or stopping concomitant treatments, changes in the frequency or nature of assessments, hospitalization or any other medically required intervention.</w:t>
      </w:r>
      <w:bookmarkStart w:id="15" w:name="_Toc28868153"/>
      <w:bookmarkStart w:id="16" w:name="_Toc28870005"/>
      <w:bookmarkStart w:id="17" w:name="_Toc31039088"/>
    </w:p>
    <w:p w14:paraId="1B9DE6B0" w14:textId="28458289" w:rsidR="002C1883" w:rsidRPr="0028074F" w:rsidRDefault="002C1883" w:rsidP="000C3D8D">
      <w:pPr>
        <w:keepNext/>
        <w:keepLines/>
        <w:jc w:val="both"/>
        <w:rPr>
          <w:rFonts w:cstheme="minorHAnsi"/>
          <w:b/>
          <w:bCs/>
          <w:sz w:val="24"/>
          <w:szCs w:val="24"/>
          <w:lang w:val="en-GB"/>
        </w:rPr>
      </w:pPr>
      <w:r w:rsidRPr="0028074F">
        <w:rPr>
          <w:rFonts w:cstheme="minorHAnsi"/>
          <w:b/>
          <w:bCs/>
          <w:sz w:val="24"/>
          <w:szCs w:val="24"/>
          <w:lang w:val="en-GB"/>
        </w:rPr>
        <w:t>Assessment of SAEs</w:t>
      </w:r>
      <w:bookmarkEnd w:id="14"/>
      <w:bookmarkEnd w:id="15"/>
      <w:bookmarkEnd w:id="16"/>
      <w:bookmarkEnd w:id="17"/>
    </w:p>
    <w:p w14:paraId="11668ECC" w14:textId="54ED2EF1" w:rsidR="000C3D8D" w:rsidRPr="0028074F" w:rsidRDefault="002C1883" w:rsidP="000C3D8D">
      <w:pPr>
        <w:pStyle w:val="Textkrper-Einzug3"/>
        <w:spacing w:after="60"/>
        <w:ind w:left="0"/>
        <w:jc w:val="both"/>
        <w:rPr>
          <w:rFonts w:asciiTheme="minorHAnsi" w:hAnsiTheme="minorHAnsi" w:cstheme="minorHAnsi"/>
          <w:szCs w:val="24"/>
          <w:lang w:val="en-GB"/>
        </w:rPr>
      </w:pPr>
      <w:bookmarkStart w:id="18" w:name="_Toc202866296"/>
      <w:r w:rsidRPr="0028074F">
        <w:rPr>
          <w:rFonts w:asciiTheme="minorHAnsi" w:hAnsiTheme="minorHAnsi" w:cstheme="minorHAnsi"/>
          <w:szCs w:val="24"/>
          <w:lang w:val="en-GB"/>
        </w:rPr>
        <w:t>As far as possible, each AE should be evaluated to determine:</w:t>
      </w:r>
      <w:r w:rsidR="000C3D8D" w:rsidRPr="0028074F">
        <w:rPr>
          <w:rFonts w:asciiTheme="minorHAnsi" w:hAnsiTheme="minorHAnsi" w:cstheme="minorHAnsi"/>
          <w:szCs w:val="24"/>
          <w:lang w:val="en-GB"/>
        </w:rPr>
        <w:t xml:space="preserve"> (1) </w:t>
      </w:r>
      <w:r w:rsidRPr="0028074F">
        <w:rPr>
          <w:rFonts w:asciiTheme="minorHAnsi" w:hAnsiTheme="minorHAnsi" w:cstheme="minorHAnsi"/>
          <w:szCs w:val="24"/>
          <w:lang w:val="en-GB"/>
        </w:rPr>
        <w:t>the severity grade (CTCAE v5.0)</w:t>
      </w:r>
      <w:r w:rsidR="000C3D8D" w:rsidRPr="0028074F">
        <w:rPr>
          <w:rFonts w:asciiTheme="minorHAnsi" w:hAnsiTheme="minorHAnsi" w:cstheme="minorHAnsi"/>
          <w:szCs w:val="24"/>
          <w:lang w:val="en-GB"/>
        </w:rPr>
        <w:t xml:space="preserve">, (2) </w:t>
      </w:r>
      <w:r w:rsidRPr="0028074F">
        <w:rPr>
          <w:rFonts w:asciiTheme="minorHAnsi" w:hAnsiTheme="minorHAnsi" w:cstheme="minorHAnsi"/>
          <w:szCs w:val="24"/>
          <w:lang w:val="en-GB"/>
        </w:rPr>
        <w:t>its relationship to the study drug (assessment of causality)</w:t>
      </w:r>
      <w:r w:rsidR="000C3D8D" w:rsidRPr="0028074F">
        <w:rPr>
          <w:rFonts w:asciiTheme="minorHAnsi" w:hAnsiTheme="minorHAnsi" w:cstheme="minorHAnsi"/>
          <w:szCs w:val="24"/>
          <w:lang w:val="en-GB"/>
        </w:rPr>
        <w:t xml:space="preserve">, (3) </w:t>
      </w:r>
      <w:r w:rsidRPr="0028074F">
        <w:rPr>
          <w:rFonts w:asciiTheme="minorHAnsi" w:hAnsiTheme="minorHAnsi" w:cstheme="minorHAnsi"/>
          <w:szCs w:val="24"/>
          <w:lang w:val="en-GB"/>
        </w:rPr>
        <w:t xml:space="preserve">its duration (start and </w:t>
      </w:r>
      <w:r w:rsidRPr="0028074F">
        <w:rPr>
          <w:rFonts w:asciiTheme="minorHAnsi" w:hAnsiTheme="minorHAnsi" w:cstheme="minorHAnsi"/>
          <w:szCs w:val="24"/>
          <w:lang w:val="en-GB"/>
        </w:rPr>
        <w:lastRenderedPageBreak/>
        <w:t>end dates or if continuing at final exam)</w:t>
      </w:r>
      <w:r w:rsidR="000C3D8D" w:rsidRPr="0028074F">
        <w:rPr>
          <w:rFonts w:asciiTheme="minorHAnsi" w:hAnsiTheme="minorHAnsi" w:cstheme="minorHAnsi"/>
          <w:szCs w:val="24"/>
          <w:lang w:val="en-GB"/>
        </w:rPr>
        <w:t xml:space="preserve">, (4) </w:t>
      </w:r>
      <w:r w:rsidRPr="0028074F">
        <w:rPr>
          <w:rFonts w:asciiTheme="minorHAnsi" w:hAnsiTheme="minorHAnsi" w:cstheme="minorHAnsi"/>
          <w:szCs w:val="24"/>
          <w:lang w:val="en-GB"/>
        </w:rPr>
        <w:t>action taken (no action taken; study drug dosage adjusted/temporarily interrupted; study drug permanently discontinued due to this AE; hospitalization)</w:t>
      </w:r>
      <w:r w:rsidR="000C3D8D" w:rsidRPr="0028074F">
        <w:rPr>
          <w:rFonts w:asciiTheme="minorHAnsi" w:hAnsiTheme="minorHAnsi" w:cstheme="minorHAnsi"/>
          <w:szCs w:val="24"/>
          <w:lang w:val="en-GB"/>
        </w:rPr>
        <w:t xml:space="preserve">, and (5) </w:t>
      </w:r>
      <w:r w:rsidRPr="0028074F">
        <w:rPr>
          <w:rFonts w:asciiTheme="minorHAnsi" w:hAnsiTheme="minorHAnsi" w:cstheme="minorHAnsi"/>
          <w:szCs w:val="24"/>
          <w:lang w:val="en-GB"/>
        </w:rPr>
        <w:t>whether it constitutes a serious adverse event (SAE)</w:t>
      </w:r>
      <w:bookmarkStart w:id="19" w:name="_Toc28868154"/>
      <w:bookmarkStart w:id="20" w:name="_Toc28870006"/>
      <w:bookmarkStart w:id="21" w:name="_Toc31039089"/>
      <w:r w:rsidR="000379B4" w:rsidRPr="0028074F">
        <w:rPr>
          <w:rFonts w:asciiTheme="minorHAnsi" w:hAnsiTheme="minorHAnsi" w:cstheme="minorHAnsi"/>
          <w:szCs w:val="24"/>
          <w:lang w:val="en-GB"/>
        </w:rPr>
        <w:t>.</w:t>
      </w:r>
    </w:p>
    <w:p w14:paraId="2A2EBF99" w14:textId="77777777" w:rsidR="000379B4" w:rsidRPr="0028074F" w:rsidRDefault="000379B4" w:rsidP="000C3D8D">
      <w:pPr>
        <w:pStyle w:val="Textkrper-Einzug3"/>
        <w:spacing w:after="60"/>
        <w:ind w:left="0"/>
        <w:jc w:val="both"/>
        <w:rPr>
          <w:rFonts w:asciiTheme="minorHAnsi" w:hAnsiTheme="minorHAnsi" w:cstheme="minorHAnsi"/>
          <w:szCs w:val="24"/>
          <w:lang w:val="en-GB"/>
        </w:rPr>
      </w:pPr>
    </w:p>
    <w:p w14:paraId="58DDD628" w14:textId="77777777" w:rsidR="004C1AAC" w:rsidRPr="0028074F" w:rsidRDefault="002C1883" w:rsidP="004C1AAC">
      <w:pPr>
        <w:pStyle w:val="Textkrper-Einzug3"/>
        <w:spacing w:after="60"/>
        <w:ind w:left="0"/>
        <w:jc w:val="both"/>
        <w:rPr>
          <w:rFonts w:asciiTheme="minorHAnsi" w:hAnsiTheme="minorHAnsi" w:cstheme="minorHAnsi"/>
          <w:b/>
          <w:bCs/>
          <w:szCs w:val="24"/>
          <w:lang w:val="en-GB"/>
        </w:rPr>
      </w:pPr>
      <w:r w:rsidRPr="0028074F">
        <w:rPr>
          <w:rFonts w:asciiTheme="minorHAnsi" w:hAnsiTheme="minorHAnsi" w:cstheme="minorHAnsi"/>
          <w:b/>
          <w:bCs/>
          <w:szCs w:val="24"/>
          <w:lang w:val="en-GB"/>
        </w:rPr>
        <w:t>Assessment of Seriousness</w:t>
      </w:r>
      <w:bookmarkEnd w:id="18"/>
      <w:bookmarkEnd w:id="19"/>
      <w:bookmarkEnd w:id="20"/>
      <w:bookmarkEnd w:id="21"/>
    </w:p>
    <w:p w14:paraId="72FF7B3E" w14:textId="5BA45130" w:rsidR="000C3D8D" w:rsidRPr="0028074F" w:rsidRDefault="002C1883" w:rsidP="004C1AAC">
      <w:pPr>
        <w:pStyle w:val="Textkrper-Einzug3"/>
        <w:spacing w:after="60"/>
        <w:ind w:left="0"/>
        <w:jc w:val="both"/>
        <w:rPr>
          <w:rFonts w:asciiTheme="minorHAnsi" w:hAnsiTheme="minorHAnsi" w:cstheme="minorHAnsi"/>
          <w:szCs w:val="24"/>
          <w:lang w:val="en-GB"/>
        </w:rPr>
      </w:pPr>
      <w:r w:rsidRPr="0028074F">
        <w:rPr>
          <w:rFonts w:asciiTheme="minorHAnsi" w:hAnsiTheme="minorHAnsi" w:cstheme="minorHAnsi"/>
          <w:szCs w:val="24"/>
          <w:lang w:val="en-GB"/>
        </w:rPr>
        <w:t>Seriousness shall be determined according to the definition above.</w:t>
      </w:r>
      <w:r w:rsidR="000C3D8D" w:rsidRPr="0028074F">
        <w:rPr>
          <w:rFonts w:asciiTheme="minorHAnsi" w:hAnsiTheme="minorHAnsi" w:cstheme="minorHAnsi"/>
          <w:szCs w:val="24"/>
          <w:lang w:val="en-GB"/>
        </w:rPr>
        <w:t xml:space="preserve"> </w:t>
      </w:r>
      <w:r w:rsidRPr="0028074F">
        <w:rPr>
          <w:rFonts w:asciiTheme="minorHAnsi" w:hAnsiTheme="minorHAnsi" w:cstheme="minorHAnsi"/>
          <w:szCs w:val="24"/>
          <w:lang w:val="en-GB"/>
        </w:rPr>
        <w:t>Furthermore</w:t>
      </w:r>
      <w:r w:rsidR="000C3D8D" w:rsidRPr="0028074F">
        <w:rPr>
          <w:rFonts w:asciiTheme="minorHAnsi" w:hAnsiTheme="minorHAnsi" w:cstheme="minorHAnsi"/>
          <w:szCs w:val="24"/>
          <w:lang w:val="en-GB"/>
        </w:rPr>
        <w:t>,</w:t>
      </w:r>
      <w:r w:rsidRPr="0028074F">
        <w:rPr>
          <w:rFonts w:asciiTheme="minorHAnsi" w:hAnsiTheme="minorHAnsi" w:cstheme="minorHAnsi"/>
          <w:szCs w:val="24"/>
          <w:lang w:val="en-GB"/>
        </w:rPr>
        <w:t xml:space="preserve"> medical and scientific judgment should be exercised in deciding whether expedited reporting is appropriate in other situations, such as important medical events that may not be immediately life-threatening or result in death or hospitalization but may jeopardize the subject or may require intervention to prevent one of the other outcomes listed in the definition above. These should also usually be considered serious. Examples of such events are intensive treatment in an emergency room, or at home for allergic bronchospasm, blood dyscrasias or convulsions that do not result in hospitalisation, or development of drug addiction or drug abuse.</w:t>
      </w:r>
      <w:bookmarkStart w:id="22" w:name="_Toc28868155"/>
      <w:bookmarkStart w:id="23" w:name="_Toc28870007"/>
      <w:bookmarkStart w:id="24" w:name="_Toc31039090"/>
    </w:p>
    <w:p w14:paraId="49CB7607" w14:textId="77777777" w:rsidR="000379B4" w:rsidRPr="0028074F" w:rsidRDefault="000379B4" w:rsidP="004C1AAC">
      <w:pPr>
        <w:pStyle w:val="Textkrper-Einzug3"/>
        <w:spacing w:after="60"/>
        <w:ind w:left="0"/>
        <w:jc w:val="both"/>
        <w:rPr>
          <w:rFonts w:asciiTheme="minorHAnsi" w:hAnsiTheme="minorHAnsi" w:cstheme="minorHAnsi"/>
          <w:b/>
          <w:bCs/>
          <w:szCs w:val="24"/>
          <w:lang w:val="en-GB"/>
        </w:rPr>
      </w:pPr>
    </w:p>
    <w:p w14:paraId="2877EDB9" w14:textId="77777777" w:rsidR="000C3D8D" w:rsidRPr="0028074F" w:rsidRDefault="002C1883" w:rsidP="000C3D8D">
      <w:pPr>
        <w:keepNext/>
        <w:keepLines/>
        <w:autoSpaceDE w:val="0"/>
        <w:autoSpaceDN w:val="0"/>
        <w:adjustRightInd w:val="0"/>
        <w:jc w:val="both"/>
        <w:rPr>
          <w:rFonts w:cstheme="minorHAnsi"/>
          <w:b/>
          <w:bCs/>
          <w:sz w:val="24"/>
          <w:szCs w:val="24"/>
          <w:lang w:val="en-GB"/>
        </w:rPr>
      </w:pPr>
      <w:r w:rsidRPr="0028074F">
        <w:rPr>
          <w:rFonts w:cstheme="minorHAnsi"/>
          <w:b/>
          <w:bCs/>
          <w:sz w:val="24"/>
          <w:szCs w:val="24"/>
          <w:lang w:val="en-GB"/>
        </w:rPr>
        <w:t>Assessment of intensity</w:t>
      </w:r>
      <w:bookmarkEnd w:id="22"/>
      <w:bookmarkEnd w:id="23"/>
      <w:bookmarkEnd w:id="24"/>
    </w:p>
    <w:p w14:paraId="3BE5EED0" w14:textId="6E3CAAF8" w:rsidR="002C1883" w:rsidRPr="0028074F" w:rsidRDefault="002C1883" w:rsidP="000C3D8D">
      <w:pPr>
        <w:keepNext/>
        <w:keepLines/>
        <w:autoSpaceDE w:val="0"/>
        <w:autoSpaceDN w:val="0"/>
        <w:adjustRightInd w:val="0"/>
        <w:jc w:val="both"/>
        <w:rPr>
          <w:rFonts w:cstheme="minorHAnsi"/>
          <w:b/>
          <w:bCs/>
          <w:sz w:val="24"/>
          <w:szCs w:val="24"/>
          <w:lang w:val="en-GB"/>
        </w:rPr>
      </w:pPr>
      <w:r w:rsidRPr="0028074F">
        <w:rPr>
          <w:rFonts w:cstheme="minorHAnsi"/>
          <w:b/>
          <w:sz w:val="24"/>
          <w:szCs w:val="24"/>
          <w:lang w:val="en-GB"/>
        </w:rPr>
        <w:t>CTCAE grading:</w:t>
      </w:r>
    </w:p>
    <w:p w14:paraId="7F0780A5" w14:textId="77777777" w:rsidR="002C1883" w:rsidRPr="0028074F" w:rsidRDefault="002C1883" w:rsidP="002C1883">
      <w:pPr>
        <w:pStyle w:val="Textbaustein"/>
        <w:spacing w:after="120"/>
        <w:jc w:val="both"/>
        <w:rPr>
          <w:rFonts w:asciiTheme="minorHAnsi" w:hAnsiTheme="minorHAnsi" w:cstheme="minorHAnsi"/>
          <w:i w:val="0"/>
          <w:color w:val="auto"/>
          <w:szCs w:val="24"/>
          <w:lang w:val="en-GB"/>
        </w:rPr>
      </w:pPr>
      <w:r w:rsidRPr="0028074F">
        <w:rPr>
          <w:rFonts w:asciiTheme="minorHAnsi" w:hAnsiTheme="minorHAnsi" w:cstheme="minorHAnsi"/>
          <w:i w:val="0"/>
          <w:color w:val="auto"/>
          <w:szCs w:val="24"/>
          <w:u w:val="single"/>
          <w:lang w:val="en-GB"/>
        </w:rPr>
        <w:t>Grade 1</w:t>
      </w:r>
      <w:r w:rsidRPr="0028074F">
        <w:rPr>
          <w:rFonts w:asciiTheme="minorHAnsi" w:hAnsiTheme="minorHAnsi" w:cstheme="minorHAnsi"/>
          <w:i w:val="0"/>
          <w:color w:val="auto"/>
          <w:szCs w:val="24"/>
          <w:lang w:val="en-GB"/>
        </w:rPr>
        <w:t xml:space="preserve"> Mild; asymptomatic or mild symptoms; clinical or diagnostic observations only; intervention not indicated.</w:t>
      </w:r>
    </w:p>
    <w:p w14:paraId="5DDF2709" w14:textId="77777777" w:rsidR="002C1883" w:rsidRPr="0028074F" w:rsidRDefault="002C1883" w:rsidP="002C1883">
      <w:pPr>
        <w:pStyle w:val="Textbaustein"/>
        <w:spacing w:after="120"/>
        <w:jc w:val="both"/>
        <w:rPr>
          <w:rFonts w:asciiTheme="minorHAnsi" w:hAnsiTheme="minorHAnsi" w:cstheme="minorHAnsi"/>
          <w:i w:val="0"/>
          <w:color w:val="auto"/>
          <w:szCs w:val="24"/>
          <w:lang w:val="en-GB"/>
        </w:rPr>
      </w:pPr>
      <w:r w:rsidRPr="0028074F">
        <w:rPr>
          <w:rFonts w:asciiTheme="minorHAnsi" w:hAnsiTheme="minorHAnsi" w:cstheme="minorHAnsi"/>
          <w:i w:val="0"/>
          <w:color w:val="auto"/>
          <w:szCs w:val="24"/>
          <w:u w:val="single"/>
          <w:lang w:val="en-GB"/>
        </w:rPr>
        <w:t>Grade 2</w:t>
      </w:r>
      <w:r w:rsidRPr="0028074F">
        <w:rPr>
          <w:rFonts w:asciiTheme="minorHAnsi" w:hAnsiTheme="minorHAnsi" w:cstheme="minorHAnsi"/>
          <w:i w:val="0"/>
          <w:color w:val="auto"/>
          <w:szCs w:val="24"/>
          <w:lang w:val="en-GB"/>
        </w:rPr>
        <w:t xml:space="preserve"> Moderate; minimal, local or noninvasive intervention indicated; limiting age-appropriate instrumental ADL*.</w:t>
      </w:r>
    </w:p>
    <w:p w14:paraId="54E97017" w14:textId="1BE78EFA" w:rsidR="002C1883" w:rsidRPr="0028074F" w:rsidRDefault="002C1883" w:rsidP="002C1883">
      <w:pPr>
        <w:pStyle w:val="Textbaustein"/>
        <w:spacing w:after="120"/>
        <w:jc w:val="both"/>
        <w:rPr>
          <w:rFonts w:asciiTheme="minorHAnsi" w:hAnsiTheme="minorHAnsi" w:cstheme="minorHAnsi"/>
          <w:i w:val="0"/>
          <w:color w:val="auto"/>
          <w:szCs w:val="24"/>
          <w:lang w:val="en-GB"/>
        </w:rPr>
      </w:pPr>
      <w:r w:rsidRPr="0028074F">
        <w:rPr>
          <w:rFonts w:asciiTheme="minorHAnsi" w:hAnsiTheme="minorHAnsi" w:cstheme="minorHAnsi"/>
          <w:i w:val="0"/>
          <w:color w:val="auto"/>
          <w:szCs w:val="24"/>
          <w:u w:val="single"/>
          <w:lang w:val="en-GB"/>
        </w:rPr>
        <w:t>Grade 3</w:t>
      </w:r>
      <w:r w:rsidRPr="0028074F">
        <w:rPr>
          <w:rFonts w:asciiTheme="minorHAnsi" w:hAnsiTheme="minorHAnsi" w:cstheme="minorHAnsi"/>
          <w:i w:val="0"/>
          <w:color w:val="auto"/>
          <w:szCs w:val="24"/>
          <w:lang w:val="en-GB"/>
        </w:rPr>
        <w:t xml:space="preserve"> Severe or medically significant but not immediately life-threatening; hospitalization or prolongation of hospitalization indicated; disabling; limiting self care ADL.</w:t>
      </w:r>
    </w:p>
    <w:p w14:paraId="1A7E0ACF" w14:textId="77777777" w:rsidR="002C1883" w:rsidRPr="0028074F" w:rsidRDefault="002C1883" w:rsidP="002C1883">
      <w:pPr>
        <w:pStyle w:val="Textbaustein"/>
        <w:spacing w:after="120"/>
        <w:jc w:val="both"/>
        <w:rPr>
          <w:rFonts w:asciiTheme="minorHAnsi" w:hAnsiTheme="minorHAnsi" w:cstheme="minorHAnsi"/>
          <w:i w:val="0"/>
          <w:color w:val="auto"/>
          <w:szCs w:val="24"/>
          <w:lang w:val="en-GB"/>
        </w:rPr>
      </w:pPr>
      <w:r w:rsidRPr="0028074F">
        <w:rPr>
          <w:rFonts w:asciiTheme="minorHAnsi" w:hAnsiTheme="minorHAnsi" w:cstheme="minorHAnsi"/>
          <w:i w:val="0"/>
          <w:color w:val="auto"/>
          <w:szCs w:val="24"/>
          <w:u w:val="single"/>
          <w:lang w:val="en-GB"/>
        </w:rPr>
        <w:t>Grade 4</w:t>
      </w:r>
      <w:r w:rsidRPr="0028074F">
        <w:rPr>
          <w:rFonts w:asciiTheme="minorHAnsi" w:hAnsiTheme="minorHAnsi" w:cstheme="minorHAnsi"/>
          <w:i w:val="0"/>
          <w:color w:val="auto"/>
          <w:szCs w:val="24"/>
          <w:lang w:val="en-GB"/>
        </w:rPr>
        <w:t xml:space="preserve"> Life-threatening consequences; urgent intervention indicated.</w:t>
      </w:r>
    </w:p>
    <w:p w14:paraId="589328E6" w14:textId="77777777" w:rsidR="004C1AAC" w:rsidRPr="0028074F" w:rsidRDefault="002C1883" w:rsidP="004C1AAC">
      <w:pPr>
        <w:pStyle w:val="Textbaustein"/>
        <w:spacing w:after="240"/>
        <w:jc w:val="both"/>
        <w:rPr>
          <w:rFonts w:asciiTheme="minorHAnsi" w:hAnsiTheme="minorHAnsi" w:cstheme="minorHAnsi"/>
          <w:i w:val="0"/>
          <w:color w:val="auto"/>
          <w:szCs w:val="24"/>
          <w:lang w:val="en-GB"/>
        </w:rPr>
      </w:pPr>
      <w:r w:rsidRPr="0028074F">
        <w:rPr>
          <w:rFonts w:asciiTheme="minorHAnsi" w:hAnsiTheme="minorHAnsi" w:cstheme="minorHAnsi"/>
          <w:i w:val="0"/>
          <w:color w:val="auto"/>
          <w:szCs w:val="24"/>
          <w:u w:val="single"/>
          <w:lang w:val="en-GB"/>
        </w:rPr>
        <w:t>Grade 5</w:t>
      </w:r>
      <w:r w:rsidRPr="0028074F">
        <w:rPr>
          <w:rFonts w:asciiTheme="minorHAnsi" w:hAnsiTheme="minorHAnsi" w:cstheme="minorHAnsi"/>
          <w:i w:val="0"/>
          <w:color w:val="auto"/>
          <w:szCs w:val="24"/>
          <w:lang w:val="en-GB"/>
        </w:rPr>
        <w:t xml:space="preserve"> Death related to AE.</w:t>
      </w:r>
      <w:bookmarkStart w:id="25" w:name="_Toc28868156"/>
      <w:bookmarkStart w:id="26" w:name="_Toc28870008"/>
      <w:bookmarkStart w:id="27" w:name="_Toc31039091"/>
    </w:p>
    <w:p w14:paraId="48E122D0" w14:textId="55BD41D3" w:rsidR="002C1883" w:rsidRPr="0028074F" w:rsidRDefault="002C1883" w:rsidP="004C1AAC">
      <w:pPr>
        <w:pStyle w:val="Textbaustein"/>
        <w:spacing w:after="240"/>
        <w:jc w:val="both"/>
        <w:rPr>
          <w:rFonts w:asciiTheme="minorHAnsi" w:hAnsiTheme="minorHAnsi" w:cstheme="minorHAnsi"/>
          <w:b/>
          <w:bCs/>
          <w:i w:val="0"/>
          <w:iCs/>
          <w:color w:val="auto"/>
          <w:szCs w:val="24"/>
          <w:lang w:val="en-GB"/>
        </w:rPr>
      </w:pPr>
      <w:r w:rsidRPr="0028074F">
        <w:rPr>
          <w:rFonts w:asciiTheme="minorHAnsi" w:hAnsiTheme="minorHAnsi" w:cstheme="minorHAnsi"/>
          <w:b/>
          <w:bCs/>
          <w:i w:val="0"/>
          <w:iCs/>
          <w:color w:val="auto"/>
          <w:szCs w:val="24"/>
          <w:lang w:val="en-US"/>
        </w:rPr>
        <w:t>Assessment of causality</w:t>
      </w:r>
      <w:bookmarkEnd w:id="25"/>
      <w:bookmarkEnd w:id="26"/>
      <w:bookmarkEnd w:id="27"/>
    </w:p>
    <w:p w14:paraId="0001501F" w14:textId="77777777" w:rsidR="002C1883" w:rsidRPr="0028074F" w:rsidRDefault="002C1883" w:rsidP="002C1883">
      <w:pPr>
        <w:pStyle w:val="Kommentartext"/>
        <w:rPr>
          <w:rFonts w:asciiTheme="minorHAnsi" w:hAnsiTheme="minorHAnsi" w:cstheme="minorHAnsi"/>
          <w:szCs w:val="24"/>
          <w:lang w:val="en-US"/>
        </w:rPr>
      </w:pPr>
      <w:r w:rsidRPr="0028074F">
        <w:rPr>
          <w:rFonts w:asciiTheme="minorHAnsi" w:hAnsiTheme="minorHAnsi" w:cstheme="minorHAnsi"/>
          <w:szCs w:val="24"/>
          <w:lang w:val="en-US"/>
        </w:rPr>
        <w:t xml:space="preserve">Causal relationship between the occurrence of an AE and the administration of the IMP as assessed by the investigator according to the available data: </w:t>
      </w:r>
    </w:p>
    <w:p w14:paraId="2B141E0D" w14:textId="77777777" w:rsidR="002C1883" w:rsidRPr="0028074F" w:rsidRDefault="002C1883" w:rsidP="002C1883">
      <w:pPr>
        <w:pStyle w:val="Textbaustein"/>
        <w:spacing w:after="120"/>
        <w:jc w:val="both"/>
        <w:rPr>
          <w:rFonts w:asciiTheme="minorHAnsi" w:hAnsiTheme="minorHAnsi" w:cstheme="minorHAnsi"/>
          <w:i w:val="0"/>
          <w:color w:val="auto"/>
          <w:szCs w:val="24"/>
          <w:lang w:val="en-US"/>
        </w:rPr>
      </w:pPr>
      <w:r w:rsidRPr="0028074F">
        <w:rPr>
          <w:rFonts w:asciiTheme="minorHAnsi" w:hAnsiTheme="minorHAnsi" w:cstheme="minorHAnsi"/>
          <w:i w:val="0"/>
          <w:color w:val="auto"/>
          <w:szCs w:val="24"/>
          <w:u w:val="single"/>
          <w:lang w:val="en-GB"/>
        </w:rPr>
        <w:t>Related</w:t>
      </w:r>
      <w:r w:rsidRPr="0028074F">
        <w:rPr>
          <w:rFonts w:asciiTheme="minorHAnsi" w:hAnsiTheme="minorHAnsi" w:cstheme="minorHAnsi"/>
          <w:b/>
          <w:bCs/>
          <w:i w:val="0"/>
          <w:color w:val="auto"/>
          <w:szCs w:val="24"/>
          <w:lang w:val="en-US"/>
        </w:rPr>
        <w:t xml:space="preserve">: </w:t>
      </w:r>
      <w:r w:rsidRPr="0028074F">
        <w:rPr>
          <w:rFonts w:asciiTheme="minorHAnsi" w:hAnsiTheme="minorHAnsi" w:cstheme="minorHAnsi"/>
          <w:i w:val="0"/>
          <w:color w:val="auto"/>
          <w:szCs w:val="24"/>
          <w:lang w:val="en-US"/>
        </w:rPr>
        <w:t>There is a reasonable causal relationship, which means that there is evidence to suggest a causal relationship. The adverse event could medically (pharmacologically/ clinically) be attributed to the investigational product under trial in this protocol.</w:t>
      </w:r>
    </w:p>
    <w:p w14:paraId="5046E83A" w14:textId="77777777" w:rsidR="000C3D8D" w:rsidRPr="0028074F" w:rsidRDefault="002C1883" w:rsidP="000C3D8D">
      <w:pPr>
        <w:autoSpaceDE w:val="0"/>
        <w:autoSpaceDN w:val="0"/>
        <w:adjustRightInd w:val="0"/>
        <w:jc w:val="both"/>
        <w:rPr>
          <w:rFonts w:cstheme="minorHAnsi"/>
          <w:sz w:val="24"/>
          <w:szCs w:val="24"/>
          <w:lang w:val="en-US"/>
        </w:rPr>
      </w:pPr>
      <w:r w:rsidRPr="0028074F">
        <w:rPr>
          <w:rFonts w:cstheme="minorHAnsi"/>
          <w:sz w:val="24"/>
          <w:szCs w:val="24"/>
          <w:u w:val="single"/>
          <w:lang w:val="en-GB"/>
        </w:rPr>
        <w:t>Not related:</w:t>
      </w:r>
      <w:r w:rsidRPr="0028074F">
        <w:rPr>
          <w:rFonts w:cstheme="minorHAnsi"/>
          <w:b/>
          <w:bCs/>
          <w:iCs/>
          <w:sz w:val="24"/>
          <w:szCs w:val="24"/>
          <w:lang w:val="en-US"/>
        </w:rPr>
        <w:t xml:space="preserve"> </w:t>
      </w:r>
      <w:r w:rsidRPr="0028074F">
        <w:rPr>
          <w:rFonts w:cstheme="minorHAnsi"/>
          <w:sz w:val="24"/>
          <w:szCs w:val="24"/>
          <w:lang w:val="en-US"/>
        </w:rPr>
        <w:t>There is no reasonable causal relationship, which means that there is no evidence to suggest a causal relationship. The adverse event could not medically (pharmacologically/ clinically) be attributed to the investigational product under trial in this protocol.</w:t>
      </w:r>
      <w:bookmarkStart w:id="28" w:name="_Toc28868157"/>
      <w:bookmarkStart w:id="29" w:name="_Toc28870009"/>
      <w:bookmarkStart w:id="30" w:name="_Toc31039092"/>
    </w:p>
    <w:p w14:paraId="3B98DF4F" w14:textId="0805597E" w:rsidR="002C1883" w:rsidRPr="0028074F" w:rsidRDefault="002C1883" w:rsidP="000C3D8D">
      <w:pPr>
        <w:autoSpaceDE w:val="0"/>
        <w:autoSpaceDN w:val="0"/>
        <w:adjustRightInd w:val="0"/>
        <w:jc w:val="both"/>
        <w:rPr>
          <w:rFonts w:cstheme="minorHAnsi"/>
          <w:b/>
          <w:bCs/>
          <w:sz w:val="24"/>
          <w:szCs w:val="24"/>
          <w:lang w:val="en-US"/>
        </w:rPr>
      </w:pPr>
      <w:r w:rsidRPr="0028074F">
        <w:rPr>
          <w:rFonts w:cstheme="minorHAnsi"/>
          <w:b/>
          <w:bCs/>
          <w:sz w:val="24"/>
          <w:szCs w:val="24"/>
          <w:lang w:val="en-GB"/>
        </w:rPr>
        <w:t>Documentation of AEs and SAEs</w:t>
      </w:r>
      <w:bookmarkEnd w:id="28"/>
      <w:bookmarkEnd w:id="29"/>
      <w:bookmarkEnd w:id="30"/>
    </w:p>
    <w:p w14:paraId="72BBA0CE" w14:textId="77777777" w:rsidR="002C1883" w:rsidRPr="0028074F" w:rsidRDefault="002C1883" w:rsidP="002C1883">
      <w:pPr>
        <w:pStyle w:val="Textbaustein"/>
        <w:jc w:val="both"/>
        <w:rPr>
          <w:rFonts w:asciiTheme="minorHAnsi" w:hAnsiTheme="minorHAnsi" w:cstheme="minorHAnsi"/>
          <w:i w:val="0"/>
          <w:color w:val="auto"/>
          <w:szCs w:val="24"/>
          <w:lang w:val="en-GB"/>
        </w:rPr>
      </w:pPr>
      <w:r w:rsidRPr="0028074F">
        <w:rPr>
          <w:rFonts w:asciiTheme="minorHAnsi" w:hAnsiTheme="minorHAnsi" w:cstheme="minorHAnsi"/>
          <w:i w:val="0"/>
          <w:color w:val="auto"/>
          <w:szCs w:val="24"/>
          <w:lang w:val="en-GB"/>
        </w:rPr>
        <w:t>All Serious Adverse Events (SAEs) and all Adverse Events (AEs) need to be documented, no matter if the Investigator suspects a causal connection to the investigational product or not. The documentation needs to include the type of event, start, duration, severity and causality, outcome, action taken.</w:t>
      </w:r>
    </w:p>
    <w:p w14:paraId="2314E723" w14:textId="77777777" w:rsidR="002C1883" w:rsidRPr="0028074F" w:rsidRDefault="002C1883" w:rsidP="002C1883">
      <w:pPr>
        <w:pStyle w:val="Textbaustein"/>
        <w:spacing w:before="120"/>
        <w:jc w:val="both"/>
        <w:rPr>
          <w:rFonts w:asciiTheme="minorHAnsi" w:hAnsiTheme="minorHAnsi" w:cstheme="minorHAnsi"/>
          <w:i w:val="0"/>
          <w:color w:val="auto"/>
          <w:szCs w:val="24"/>
          <w:lang w:val="en-GB"/>
        </w:rPr>
      </w:pPr>
      <w:r w:rsidRPr="0028074F">
        <w:rPr>
          <w:rFonts w:asciiTheme="minorHAnsi" w:hAnsiTheme="minorHAnsi" w:cstheme="minorHAnsi"/>
          <w:i w:val="0"/>
          <w:color w:val="auto"/>
          <w:szCs w:val="24"/>
          <w:lang w:val="en-GB"/>
        </w:rPr>
        <w:lastRenderedPageBreak/>
        <w:t>Related signs, symptoms and laboratory changes should be summarized to a specific disease. The event will be recorded in the CRF SAEs need to be documented on a separate SAE form.</w:t>
      </w:r>
    </w:p>
    <w:p w14:paraId="73F3FD8F" w14:textId="77777777" w:rsidR="002C1883" w:rsidRPr="0028074F" w:rsidRDefault="002C1883" w:rsidP="002C1883">
      <w:pPr>
        <w:pStyle w:val="Textbaustein"/>
        <w:spacing w:before="120"/>
        <w:jc w:val="both"/>
        <w:rPr>
          <w:rFonts w:asciiTheme="minorHAnsi" w:hAnsiTheme="minorHAnsi" w:cstheme="minorHAnsi"/>
          <w:i w:val="0"/>
          <w:color w:val="auto"/>
          <w:szCs w:val="24"/>
          <w:lang w:val="en-GB"/>
        </w:rPr>
      </w:pPr>
      <w:r w:rsidRPr="0028074F">
        <w:rPr>
          <w:rFonts w:asciiTheme="minorHAnsi" w:hAnsiTheme="minorHAnsi" w:cstheme="minorHAnsi"/>
          <w:i w:val="0"/>
          <w:color w:val="auto"/>
          <w:szCs w:val="24"/>
          <w:lang w:val="en-GB"/>
        </w:rPr>
        <w:t xml:space="preserve">Out of normal range laboratory data need to be analysed concerning their clinical relevance by the Investigator – and if relevant documented as an AE itself. CTCAE criteria will be applied to laboratory values. </w:t>
      </w:r>
    </w:p>
    <w:p w14:paraId="72533A9A" w14:textId="77777777" w:rsidR="002C1883" w:rsidRPr="0028074F" w:rsidRDefault="002C1883" w:rsidP="002C1883">
      <w:pPr>
        <w:jc w:val="both"/>
        <w:rPr>
          <w:rFonts w:cstheme="minorHAnsi"/>
          <w:sz w:val="24"/>
          <w:szCs w:val="24"/>
          <w:lang w:val="en-GB"/>
        </w:rPr>
      </w:pPr>
      <w:r w:rsidRPr="0028074F">
        <w:rPr>
          <w:rFonts w:cstheme="minorHAnsi"/>
          <w:sz w:val="24"/>
          <w:szCs w:val="24"/>
          <w:lang w:val="en-GB"/>
        </w:rPr>
        <w:t>All adverse events need to be followed until they subside or stabilize.</w:t>
      </w:r>
    </w:p>
    <w:p w14:paraId="4763E7BB" w14:textId="77777777" w:rsidR="000C3D8D" w:rsidRPr="0028074F" w:rsidRDefault="002C1883" w:rsidP="000C3D8D">
      <w:pPr>
        <w:pStyle w:val="Textbaustein"/>
        <w:spacing w:before="120"/>
        <w:jc w:val="both"/>
        <w:rPr>
          <w:rFonts w:asciiTheme="minorHAnsi" w:hAnsiTheme="minorHAnsi" w:cstheme="minorHAnsi"/>
          <w:i w:val="0"/>
          <w:color w:val="auto"/>
          <w:szCs w:val="24"/>
          <w:lang w:val="en-GB"/>
        </w:rPr>
      </w:pPr>
      <w:r w:rsidRPr="0028074F">
        <w:rPr>
          <w:rFonts w:asciiTheme="minorHAnsi" w:hAnsiTheme="minorHAnsi" w:cstheme="minorHAnsi"/>
          <w:i w:val="0"/>
          <w:color w:val="auto"/>
          <w:szCs w:val="24"/>
          <w:lang w:val="en-GB"/>
        </w:rPr>
        <w:t>The Sponsor will carefully document all SAEs reported by the Investigator. His documentation will be sent to the relevant regulatory authorities and to relevant authorities of other European member states and other contracting states of the EWR agreement, if the study is run in their territory and if they so request.</w:t>
      </w:r>
      <w:bookmarkStart w:id="31" w:name="_Toc28868158"/>
      <w:bookmarkStart w:id="32" w:name="_Toc28870010"/>
      <w:bookmarkStart w:id="33" w:name="_Toc31039093"/>
    </w:p>
    <w:p w14:paraId="4B05BDD6" w14:textId="5923A453" w:rsidR="002C1883" w:rsidRPr="0028074F" w:rsidRDefault="002C1883" w:rsidP="000C3D8D">
      <w:pPr>
        <w:pStyle w:val="Textbaustein"/>
        <w:spacing w:before="120"/>
        <w:jc w:val="both"/>
        <w:rPr>
          <w:rFonts w:asciiTheme="minorHAnsi" w:hAnsiTheme="minorHAnsi" w:cstheme="minorHAnsi"/>
          <w:b/>
          <w:bCs/>
          <w:i w:val="0"/>
          <w:iCs/>
          <w:color w:val="auto"/>
          <w:szCs w:val="24"/>
          <w:lang w:val="en-GB"/>
        </w:rPr>
      </w:pPr>
      <w:r w:rsidRPr="0028074F">
        <w:rPr>
          <w:rFonts w:asciiTheme="minorHAnsi" w:hAnsiTheme="minorHAnsi" w:cstheme="minorHAnsi"/>
          <w:b/>
          <w:bCs/>
          <w:i w:val="0"/>
          <w:iCs/>
          <w:color w:val="auto"/>
          <w:szCs w:val="24"/>
          <w:lang w:val="en-GB"/>
        </w:rPr>
        <w:t>Reporting of SAEs</w:t>
      </w:r>
      <w:bookmarkEnd w:id="31"/>
      <w:bookmarkEnd w:id="32"/>
      <w:bookmarkEnd w:id="33"/>
    </w:p>
    <w:p w14:paraId="3650891E" w14:textId="24CC552D" w:rsidR="002C1883" w:rsidRPr="0028074F" w:rsidRDefault="002C1883" w:rsidP="002C1883">
      <w:pPr>
        <w:pStyle w:val="Textbaustein"/>
        <w:spacing w:after="120"/>
        <w:jc w:val="both"/>
        <w:rPr>
          <w:rFonts w:asciiTheme="minorHAnsi" w:hAnsiTheme="minorHAnsi" w:cstheme="minorHAnsi"/>
          <w:i w:val="0"/>
          <w:color w:val="auto"/>
          <w:szCs w:val="24"/>
          <w:lang w:val="en-GB"/>
        </w:rPr>
      </w:pPr>
      <w:r w:rsidRPr="0028074F">
        <w:rPr>
          <w:rFonts w:asciiTheme="minorHAnsi" w:hAnsiTheme="minorHAnsi" w:cstheme="minorHAnsi"/>
          <w:i w:val="0"/>
          <w:color w:val="auto"/>
          <w:szCs w:val="24"/>
          <w:lang w:val="en-GB"/>
        </w:rPr>
        <w:t>To ensure patient safety all SAEs occurring after the patient has provided informed consent must be reported, regardless of causality, by the local investigator to the Sponsor within 24 hours of learning its occurrence. The local Investigator is responsible for reporting all adverse events reported by the participant or detected by the study staff without delay and within 24 hours to the Sponsor's designee (</w:t>
      </w:r>
      <w:r w:rsidR="00805B67" w:rsidRPr="0028074F">
        <w:rPr>
          <w:rFonts w:asciiTheme="minorHAnsi" w:hAnsiTheme="minorHAnsi" w:cstheme="minorHAnsi"/>
          <w:i w:val="0"/>
          <w:color w:val="auto"/>
          <w:szCs w:val="24"/>
          <w:lang w:val="en-GB"/>
        </w:rPr>
        <w:t xml:space="preserve">CTO </w:t>
      </w:r>
      <w:r w:rsidRPr="0028074F">
        <w:rPr>
          <w:rFonts w:asciiTheme="minorHAnsi" w:hAnsiTheme="minorHAnsi" w:cstheme="minorHAnsi"/>
          <w:i w:val="0"/>
          <w:color w:val="auto"/>
          <w:szCs w:val="24"/>
          <w:lang w:val="en-GB"/>
        </w:rPr>
        <w:t>Charité, Pharmacovigilance Department). It has to be documented on the appropriate pages of the case report form (CRF).</w:t>
      </w:r>
    </w:p>
    <w:p w14:paraId="3810C7AF" w14:textId="016F8505" w:rsidR="000C3D8D" w:rsidRPr="0028074F" w:rsidRDefault="002C1883" w:rsidP="000C3D8D">
      <w:pPr>
        <w:pStyle w:val="Textbaustein"/>
        <w:jc w:val="both"/>
        <w:rPr>
          <w:rFonts w:asciiTheme="minorHAnsi" w:hAnsiTheme="minorHAnsi" w:cstheme="minorHAnsi"/>
          <w:i w:val="0"/>
          <w:color w:val="auto"/>
          <w:szCs w:val="24"/>
          <w:lang w:val="en-GB"/>
        </w:rPr>
      </w:pPr>
      <w:r w:rsidRPr="0028074F">
        <w:rPr>
          <w:rFonts w:asciiTheme="minorHAnsi" w:hAnsiTheme="minorHAnsi" w:cstheme="minorHAnsi"/>
          <w:i w:val="0"/>
          <w:color w:val="auto"/>
          <w:szCs w:val="24"/>
          <w:lang w:val="en-GB"/>
        </w:rPr>
        <w:t>The Investigator will report any Serious Adverse Event promptly after becoming aware to the Sponsor’s designee (</w:t>
      </w:r>
      <w:r w:rsidR="00805B67" w:rsidRPr="0028074F">
        <w:rPr>
          <w:rFonts w:asciiTheme="minorHAnsi" w:hAnsiTheme="minorHAnsi" w:cstheme="minorHAnsi"/>
          <w:i w:val="0"/>
          <w:color w:val="auto"/>
          <w:szCs w:val="24"/>
          <w:lang w:val="en-GB"/>
        </w:rPr>
        <w:t>CTO</w:t>
      </w:r>
      <w:r w:rsidRPr="0028074F">
        <w:rPr>
          <w:rFonts w:asciiTheme="minorHAnsi" w:hAnsiTheme="minorHAnsi" w:cstheme="minorHAnsi"/>
          <w:i w:val="0"/>
          <w:color w:val="auto"/>
          <w:szCs w:val="24"/>
          <w:lang w:val="en-GB"/>
        </w:rPr>
        <w:t xml:space="preserve"> Charité, Pharmacovigilance Department) and will afterwards send an extended written record.</w:t>
      </w:r>
      <w:bookmarkStart w:id="34" w:name="_Toc202866301"/>
      <w:bookmarkStart w:id="35" w:name="_Toc28868159"/>
      <w:bookmarkStart w:id="36" w:name="_Toc28870011"/>
      <w:bookmarkStart w:id="37" w:name="_Toc31039094"/>
    </w:p>
    <w:p w14:paraId="23271D7D" w14:textId="77777777" w:rsidR="000C3D8D" w:rsidRPr="0028074F" w:rsidRDefault="000C3D8D" w:rsidP="000C3D8D">
      <w:pPr>
        <w:pStyle w:val="Textbaustein"/>
        <w:jc w:val="both"/>
        <w:rPr>
          <w:rFonts w:asciiTheme="minorHAnsi" w:hAnsiTheme="minorHAnsi" w:cstheme="minorHAnsi"/>
          <w:i w:val="0"/>
          <w:color w:val="auto"/>
          <w:szCs w:val="24"/>
          <w:lang w:val="en-GB"/>
        </w:rPr>
      </w:pPr>
    </w:p>
    <w:p w14:paraId="375D9710" w14:textId="76C949F4" w:rsidR="002C1883" w:rsidRPr="0028074F" w:rsidRDefault="002C1883" w:rsidP="000C3D8D">
      <w:pPr>
        <w:pStyle w:val="Textbaustein"/>
        <w:jc w:val="both"/>
        <w:rPr>
          <w:rFonts w:asciiTheme="minorHAnsi" w:hAnsiTheme="minorHAnsi" w:cstheme="minorHAnsi"/>
          <w:b/>
          <w:bCs/>
          <w:i w:val="0"/>
          <w:iCs/>
          <w:color w:val="auto"/>
          <w:szCs w:val="24"/>
          <w:lang w:val="en-GB"/>
        </w:rPr>
      </w:pPr>
      <w:r w:rsidRPr="0028074F">
        <w:rPr>
          <w:rFonts w:asciiTheme="minorHAnsi" w:hAnsiTheme="minorHAnsi" w:cstheme="minorHAnsi"/>
          <w:b/>
          <w:bCs/>
          <w:i w:val="0"/>
          <w:iCs/>
          <w:color w:val="auto"/>
          <w:szCs w:val="24"/>
          <w:lang w:val="en-GB"/>
        </w:rPr>
        <w:t>Reporting of Suspected Unexpected Serious Adverse Reactions (SUSARs)</w:t>
      </w:r>
      <w:bookmarkEnd w:id="34"/>
      <w:bookmarkEnd w:id="35"/>
      <w:bookmarkEnd w:id="36"/>
      <w:bookmarkEnd w:id="37"/>
    </w:p>
    <w:p w14:paraId="1C7924D8" w14:textId="2E4EB109" w:rsidR="002C1883" w:rsidRPr="0028074F" w:rsidRDefault="002C1883" w:rsidP="002C1883">
      <w:pPr>
        <w:pStyle w:val="Textbaustein"/>
        <w:jc w:val="both"/>
        <w:rPr>
          <w:rFonts w:asciiTheme="minorHAnsi" w:hAnsiTheme="minorHAnsi" w:cstheme="minorHAnsi"/>
          <w:i w:val="0"/>
          <w:color w:val="auto"/>
          <w:szCs w:val="24"/>
          <w:lang w:val="en-GB"/>
        </w:rPr>
      </w:pPr>
      <w:r w:rsidRPr="0028074F">
        <w:rPr>
          <w:rFonts w:asciiTheme="minorHAnsi" w:hAnsiTheme="minorHAnsi" w:cstheme="minorHAnsi"/>
          <w:i w:val="0"/>
          <w:color w:val="auto"/>
          <w:szCs w:val="24"/>
          <w:lang w:val="en-GB"/>
        </w:rPr>
        <w:t>The Sponsor’s designee (</w:t>
      </w:r>
      <w:r w:rsidR="007001DA" w:rsidRPr="0028074F">
        <w:rPr>
          <w:rFonts w:asciiTheme="minorHAnsi" w:hAnsiTheme="minorHAnsi" w:cstheme="minorHAnsi"/>
          <w:i w:val="0"/>
          <w:color w:val="auto"/>
          <w:szCs w:val="24"/>
          <w:lang w:val="en-GB"/>
        </w:rPr>
        <w:t xml:space="preserve">CTO </w:t>
      </w:r>
      <w:r w:rsidRPr="0028074F">
        <w:rPr>
          <w:rFonts w:asciiTheme="minorHAnsi" w:hAnsiTheme="minorHAnsi" w:cstheme="minorHAnsi"/>
          <w:i w:val="0"/>
          <w:color w:val="auto"/>
          <w:szCs w:val="24"/>
          <w:lang w:val="en-GB"/>
        </w:rPr>
        <w:t>Charité) will report all suspicious cases of Suspected Unexpected Serious Adverse Reactions (SUSARs) which had been occurred in one of clinical trials conducted by the same sponsor with the same drug substance/IMP to the relevant Ethics Committee, the relevant regulatory authorities and  to relevant regulatory authorities of other European member states and other contracting states of the EWR agreement, if the study is run in their territory immediately, at the latest 15 days after it becomes known. He will also inform all Investigators involved in the trial.</w:t>
      </w:r>
    </w:p>
    <w:p w14:paraId="2FECFD91" w14:textId="03DD61B4" w:rsidR="000379B4" w:rsidRPr="0028074F" w:rsidRDefault="002C1883" w:rsidP="000C3D8D">
      <w:pPr>
        <w:pStyle w:val="Textbaustein"/>
        <w:spacing w:before="120"/>
        <w:jc w:val="both"/>
        <w:rPr>
          <w:rFonts w:asciiTheme="minorHAnsi" w:hAnsiTheme="minorHAnsi" w:cstheme="minorHAnsi"/>
          <w:i w:val="0"/>
          <w:color w:val="auto"/>
          <w:szCs w:val="24"/>
          <w:lang w:val="en-GB"/>
        </w:rPr>
      </w:pPr>
      <w:r w:rsidRPr="0028074F">
        <w:rPr>
          <w:rFonts w:asciiTheme="minorHAnsi" w:hAnsiTheme="minorHAnsi" w:cstheme="minorHAnsi"/>
          <w:i w:val="0"/>
          <w:color w:val="auto"/>
          <w:szCs w:val="24"/>
          <w:lang w:val="en-GB"/>
        </w:rPr>
        <w:t>In case of a fatal or life threatening SUSAR the Sponsor will report all information relevant for judging the event immediately, at the latest 7 days after the event becomes known to the relevant Ethics Committee, the relevant regulatory authorities and to relevant regulatory authorities of other European member states and other contracting states of the EWR agreement, if the study is run in their territory as well as to all Investigators involved in the trial. After a further 8 days all further relevant information must be available.</w:t>
      </w:r>
      <w:bookmarkStart w:id="38" w:name="_Toc202866302"/>
      <w:bookmarkStart w:id="39" w:name="_Toc28868160"/>
      <w:bookmarkStart w:id="40" w:name="_Toc28870012"/>
      <w:bookmarkStart w:id="41" w:name="_Toc31039095"/>
    </w:p>
    <w:p w14:paraId="0D8CD484" w14:textId="012C074E" w:rsidR="002C1883" w:rsidRPr="0028074F" w:rsidRDefault="002C1883" w:rsidP="000C3D8D">
      <w:pPr>
        <w:pStyle w:val="Textbaustein"/>
        <w:spacing w:before="120"/>
        <w:jc w:val="both"/>
        <w:rPr>
          <w:rFonts w:asciiTheme="minorHAnsi" w:hAnsiTheme="minorHAnsi" w:cstheme="minorHAnsi"/>
          <w:b/>
          <w:bCs/>
          <w:i w:val="0"/>
          <w:iCs/>
          <w:color w:val="auto"/>
          <w:szCs w:val="24"/>
          <w:lang w:val="en-GB"/>
        </w:rPr>
      </w:pPr>
      <w:r w:rsidRPr="0028074F">
        <w:rPr>
          <w:rFonts w:asciiTheme="minorHAnsi" w:hAnsiTheme="minorHAnsi" w:cstheme="minorHAnsi"/>
          <w:b/>
          <w:bCs/>
          <w:i w:val="0"/>
          <w:iCs/>
          <w:color w:val="auto"/>
          <w:szCs w:val="24"/>
          <w:lang w:val="en-GB"/>
        </w:rPr>
        <w:t>Other safety issues requiring expedited reporting</w:t>
      </w:r>
      <w:bookmarkEnd w:id="38"/>
      <w:bookmarkEnd w:id="39"/>
      <w:bookmarkEnd w:id="40"/>
      <w:bookmarkEnd w:id="41"/>
    </w:p>
    <w:p w14:paraId="6EC18C17" w14:textId="77777777" w:rsidR="002C1883" w:rsidRPr="0028074F" w:rsidRDefault="002C1883" w:rsidP="002C1883">
      <w:pPr>
        <w:pStyle w:val="Textbaustein"/>
        <w:jc w:val="both"/>
        <w:rPr>
          <w:rFonts w:asciiTheme="minorHAnsi" w:hAnsiTheme="minorHAnsi" w:cstheme="minorHAnsi"/>
          <w:i w:val="0"/>
          <w:color w:val="auto"/>
          <w:szCs w:val="24"/>
          <w:lang w:val="en-GB"/>
        </w:rPr>
      </w:pPr>
      <w:r w:rsidRPr="0028074F">
        <w:rPr>
          <w:rFonts w:asciiTheme="minorHAnsi" w:hAnsiTheme="minorHAnsi" w:cstheme="minorHAnsi"/>
          <w:i w:val="0"/>
          <w:color w:val="auto"/>
          <w:szCs w:val="24"/>
          <w:lang w:val="en-GB"/>
        </w:rPr>
        <w:t>The Sponsor’s designee will immediately, at the latest 15 days after it becomes known report all circumstances that require a revision of the risk-benefit analysis to the relevant Ethics Committee, the relevant regulatory authorities and  to relevant regulatory authorities of other European member states and other contracting states of the EWR agreement, if the study is run in their territory. This especially includes:</w:t>
      </w:r>
    </w:p>
    <w:p w14:paraId="12283AC8" w14:textId="46B8C43E" w:rsidR="002C1883" w:rsidRPr="0028074F" w:rsidRDefault="002C1883" w:rsidP="000937BA">
      <w:pPr>
        <w:pStyle w:val="Textbaustein"/>
        <w:numPr>
          <w:ilvl w:val="1"/>
          <w:numId w:val="2"/>
        </w:numPr>
        <w:tabs>
          <w:tab w:val="clear" w:pos="1440"/>
        </w:tabs>
        <w:ind w:left="851" w:hanging="425"/>
        <w:jc w:val="both"/>
        <w:rPr>
          <w:rFonts w:asciiTheme="minorHAnsi" w:hAnsiTheme="minorHAnsi" w:cstheme="minorHAnsi"/>
          <w:i w:val="0"/>
          <w:color w:val="auto"/>
          <w:szCs w:val="24"/>
          <w:lang w:val="en-GB"/>
        </w:rPr>
      </w:pPr>
      <w:r w:rsidRPr="0028074F">
        <w:rPr>
          <w:rFonts w:asciiTheme="minorHAnsi" w:hAnsiTheme="minorHAnsi" w:cstheme="minorHAnsi"/>
          <w:i w:val="0"/>
          <w:color w:val="auto"/>
          <w:szCs w:val="24"/>
          <w:lang w:val="en-GB"/>
        </w:rPr>
        <w:t>Singular cases of expected severe adverse events with an unexpected outcome.</w:t>
      </w:r>
    </w:p>
    <w:p w14:paraId="2C63B7D7" w14:textId="77777777" w:rsidR="002C1883" w:rsidRPr="0028074F" w:rsidRDefault="002C1883" w:rsidP="002C1883">
      <w:pPr>
        <w:pStyle w:val="Textbaustein"/>
        <w:numPr>
          <w:ilvl w:val="1"/>
          <w:numId w:val="2"/>
        </w:numPr>
        <w:tabs>
          <w:tab w:val="clear" w:pos="1440"/>
        </w:tabs>
        <w:ind w:left="851" w:hanging="425"/>
        <w:jc w:val="both"/>
        <w:rPr>
          <w:rFonts w:asciiTheme="minorHAnsi" w:hAnsiTheme="minorHAnsi" w:cstheme="minorHAnsi"/>
          <w:i w:val="0"/>
          <w:color w:val="auto"/>
          <w:szCs w:val="24"/>
          <w:lang w:val="en-GB"/>
        </w:rPr>
      </w:pPr>
      <w:r w:rsidRPr="0028074F">
        <w:rPr>
          <w:rFonts w:asciiTheme="minorHAnsi" w:hAnsiTheme="minorHAnsi" w:cstheme="minorHAnsi"/>
          <w:i w:val="0"/>
          <w:color w:val="auto"/>
          <w:szCs w:val="24"/>
          <w:lang w:val="en-GB"/>
        </w:rPr>
        <w:t>Increased incidence of expected severe adverse events that are judged as being clinically relevant.</w:t>
      </w:r>
    </w:p>
    <w:p w14:paraId="08907AE4" w14:textId="77777777" w:rsidR="002C1883" w:rsidRPr="0028074F" w:rsidRDefault="002C1883" w:rsidP="002C1883">
      <w:pPr>
        <w:pStyle w:val="Textbaustein"/>
        <w:numPr>
          <w:ilvl w:val="1"/>
          <w:numId w:val="2"/>
        </w:numPr>
        <w:tabs>
          <w:tab w:val="clear" w:pos="1440"/>
        </w:tabs>
        <w:ind w:left="851" w:hanging="425"/>
        <w:jc w:val="both"/>
        <w:rPr>
          <w:rFonts w:asciiTheme="minorHAnsi" w:hAnsiTheme="minorHAnsi" w:cstheme="minorHAnsi"/>
          <w:i w:val="0"/>
          <w:color w:val="auto"/>
          <w:szCs w:val="24"/>
          <w:lang w:val="en-GB"/>
        </w:rPr>
      </w:pPr>
      <w:r w:rsidRPr="0028074F">
        <w:rPr>
          <w:rFonts w:asciiTheme="minorHAnsi" w:hAnsiTheme="minorHAnsi" w:cstheme="minorHAnsi"/>
          <w:i w:val="0"/>
          <w:color w:val="auto"/>
          <w:szCs w:val="24"/>
          <w:lang w:val="en-GB"/>
        </w:rPr>
        <w:lastRenderedPageBreak/>
        <w:t>SUSARs which occur after termination of the clinical trial (up to 8 days (five times half-life of 36 h) after termination or exclusion)</w:t>
      </w:r>
    </w:p>
    <w:p w14:paraId="29C730C1" w14:textId="77777777" w:rsidR="002C1883" w:rsidRPr="0028074F" w:rsidRDefault="002C1883" w:rsidP="002C1883">
      <w:pPr>
        <w:pStyle w:val="Textbaustein"/>
        <w:numPr>
          <w:ilvl w:val="1"/>
          <w:numId w:val="2"/>
        </w:numPr>
        <w:tabs>
          <w:tab w:val="clear" w:pos="1440"/>
        </w:tabs>
        <w:ind w:left="851" w:hanging="425"/>
        <w:jc w:val="both"/>
        <w:rPr>
          <w:rFonts w:asciiTheme="minorHAnsi" w:hAnsiTheme="minorHAnsi" w:cstheme="minorHAnsi"/>
          <w:i w:val="0"/>
          <w:color w:val="auto"/>
          <w:szCs w:val="24"/>
          <w:lang w:val="en-GB"/>
        </w:rPr>
      </w:pPr>
      <w:r w:rsidRPr="0028074F">
        <w:rPr>
          <w:rFonts w:asciiTheme="minorHAnsi" w:hAnsiTheme="minorHAnsi" w:cstheme="minorHAnsi"/>
          <w:i w:val="0"/>
          <w:color w:val="auto"/>
          <w:szCs w:val="24"/>
          <w:lang w:val="en-GB"/>
        </w:rPr>
        <w:t>Events related to study procedures or development of the study medication, which could affect a subject’s safety.</w:t>
      </w:r>
    </w:p>
    <w:p w14:paraId="5BF7FF60" w14:textId="77777777" w:rsidR="000C3D8D" w:rsidRPr="0028074F" w:rsidRDefault="002C1883" w:rsidP="000C3D8D">
      <w:pPr>
        <w:pStyle w:val="Textbaustein"/>
        <w:jc w:val="both"/>
        <w:rPr>
          <w:rFonts w:asciiTheme="minorHAnsi" w:hAnsiTheme="minorHAnsi" w:cstheme="minorHAnsi"/>
          <w:i w:val="0"/>
          <w:color w:val="auto"/>
          <w:szCs w:val="24"/>
          <w:lang w:val="en-GB"/>
        </w:rPr>
      </w:pPr>
      <w:r w:rsidRPr="0028074F">
        <w:rPr>
          <w:rFonts w:asciiTheme="minorHAnsi" w:hAnsiTheme="minorHAnsi" w:cstheme="minorHAnsi"/>
          <w:i w:val="0"/>
          <w:color w:val="auto"/>
          <w:szCs w:val="24"/>
          <w:lang w:val="en-GB"/>
        </w:rPr>
        <w:t>All person-related data will always be transmitted pseudonymised. Before reporting a SUSAR the subject will be unblinded.</w:t>
      </w:r>
      <w:bookmarkStart w:id="42" w:name="_Toc202866303"/>
      <w:bookmarkStart w:id="43" w:name="_Toc28868161"/>
      <w:bookmarkStart w:id="44" w:name="_Toc28870013"/>
      <w:bookmarkStart w:id="45" w:name="_Toc31039096"/>
    </w:p>
    <w:p w14:paraId="2150E940" w14:textId="77777777" w:rsidR="000C3D8D" w:rsidRPr="0028074F" w:rsidRDefault="000C3D8D" w:rsidP="000C3D8D">
      <w:pPr>
        <w:pStyle w:val="Textbaustein"/>
        <w:jc w:val="both"/>
        <w:rPr>
          <w:rFonts w:asciiTheme="minorHAnsi" w:hAnsiTheme="minorHAnsi" w:cstheme="minorHAnsi"/>
          <w:b/>
          <w:bCs/>
          <w:i w:val="0"/>
          <w:iCs/>
          <w:color w:val="auto"/>
          <w:szCs w:val="24"/>
          <w:lang w:val="en-GB"/>
        </w:rPr>
      </w:pPr>
    </w:p>
    <w:p w14:paraId="50E1FE57" w14:textId="25D2C15E" w:rsidR="002C1883" w:rsidRPr="0028074F" w:rsidRDefault="002C1883" w:rsidP="000C3D8D">
      <w:pPr>
        <w:pStyle w:val="Textbaustein"/>
        <w:jc w:val="both"/>
        <w:rPr>
          <w:rFonts w:asciiTheme="minorHAnsi" w:hAnsiTheme="minorHAnsi" w:cstheme="minorHAnsi"/>
          <w:b/>
          <w:bCs/>
          <w:i w:val="0"/>
          <w:iCs/>
          <w:color w:val="auto"/>
          <w:szCs w:val="24"/>
          <w:lang w:val="en-GB"/>
        </w:rPr>
      </w:pPr>
      <w:r w:rsidRPr="0028074F">
        <w:rPr>
          <w:rFonts w:asciiTheme="minorHAnsi" w:hAnsiTheme="minorHAnsi" w:cstheme="minorHAnsi"/>
          <w:b/>
          <w:bCs/>
          <w:i w:val="0"/>
          <w:iCs/>
          <w:color w:val="auto"/>
          <w:szCs w:val="24"/>
          <w:lang w:val="en-GB"/>
        </w:rPr>
        <w:t>Follow-up of adverse events</w:t>
      </w:r>
      <w:bookmarkEnd w:id="42"/>
      <w:bookmarkEnd w:id="43"/>
      <w:bookmarkEnd w:id="44"/>
      <w:bookmarkEnd w:id="45"/>
    </w:p>
    <w:p w14:paraId="08E72C98" w14:textId="77777777" w:rsidR="002C1883" w:rsidRPr="0028074F" w:rsidRDefault="002C1883" w:rsidP="002C1883">
      <w:pPr>
        <w:pStyle w:val="Textkrper-Einzug3"/>
        <w:ind w:left="0"/>
        <w:jc w:val="both"/>
        <w:rPr>
          <w:rFonts w:asciiTheme="minorHAnsi" w:hAnsiTheme="minorHAnsi" w:cstheme="minorHAnsi"/>
          <w:szCs w:val="24"/>
          <w:lang w:val="en-GB"/>
        </w:rPr>
      </w:pPr>
      <w:r w:rsidRPr="0028074F">
        <w:rPr>
          <w:rFonts w:asciiTheme="minorHAnsi" w:hAnsiTheme="minorHAnsi" w:cstheme="minorHAnsi"/>
          <w:szCs w:val="24"/>
          <w:lang w:val="en-GB"/>
        </w:rPr>
        <w:t>Once an AE is detected, it should be followed until its resolution or stabilisation, and assessment should be made at each visit (or more frequently, if necessary) of any changes in severity, the suspected relationship to the study, the interventions required to treat it and the outcome.</w:t>
      </w:r>
    </w:p>
    <w:p w14:paraId="27A686A8" w14:textId="77777777" w:rsidR="002C1883" w:rsidRPr="0028074F" w:rsidRDefault="002C1883" w:rsidP="002C1883">
      <w:pPr>
        <w:pStyle w:val="Textkrper-Einzug3"/>
        <w:spacing w:before="120"/>
        <w:ind w:left="0"/>
        <w:jc w:val="both"/>
        <w:rPr>
          <w:rFonts w:asciiTheme="minorHAnsi" w:hAnsiTheme="minorHAnsi" w:cstheme="minorHAnsi"/>
          <w:szCs w:val="24"/>
          <w:lang w:val="en-GB"/>
        </w:rPr>
      </w:pPr>
      <w:r w:rsidRPr="0028074F">
        <w:rPr>
          <w:rFonts w:asciiTheme="minorHAnsi" w:hAnsiTheme="minorHAnsi" w:cstheme="minorHAnsi"/>
          <w:szCs w:val="24"/>
          <w:lang w:val="en-GB"/>
        </w:rPr>
        <w:t>Follow-up information is sent to the same address to which the original SAE Report Form was sent, using a new SAE Report Form stating that this is a follow-up to the previously reported SAE and giving the date of the original report. Each re-occurrence, complication, or progression of the original event should be reported as a follow-up to that event regardless of when it occurs. The follow-up information should describe whether the event has resolved or continues, if and how it was treated, whether the patient continued or withdrew from study participation.</w:t>
      </w:r>
    </w:p>
    <w:p w14:paraId="43352CC9" w14:textId="77777777" w:rsidR="000C3D8D" w:rsidRPr="0028074F" w:rsidRDefault="002C1883" w:rsidP="000C3D8D">
      <w:pPr>
        <w:pStyle w:val="Textkrper-Einzug3"/>
        <w:spacing w:before="120"/>
        <w:ind w:left="0"/>
        <w:jc w:val="both"/>
        <w:rPr>
          <w:rFonts w:asciiTheme="minorHAnsi" w:hAnsiTheme="minorHAnsi" w:cstheme="minorHAnsi"/>
          <w:szCs w:val="24"/>
          <w:lang w:val="en-GB"/>
        </w:rPr>
      </w:pPr>
      <w:r w:rsidRPr="0028074F">
        <w:rPr>
          <w:rFonts w:asciiTheme="minorHAnsi" w:hAnsiTheme="minorHAnsi" w:cstheme="minorHAnsi"/>
          <w:szCs w:val="24"/>
          <w:lang w:val="en-GB"/>
        </w:rPr>
        <w:t>For a follow-up report to the authorities, the investigator may be required to collect further information for a detailed description and a final evaluation of the case, including copies of hospital reports, autopsy reports, or other relevant documents.</w:t>
      </w:r>
      <w:bookmarkStart w:id="46" w:name="_Toc28868162"/>
      <w:bookmarkStart w:id="47" w:name="_Toc28870014"/>
      <w:bookmarkStart w:id="48" w:name="_Toc31039097"/>
    </w:p>
    <w:p w14:paraId="145D5845" w14:textId="3B583D51" w:rsidR="002C1883" w:rsidRPr="0028074F" w:rsidRDefault="002C1883" w:rsidP="000C3D8D">
      <w:pPr>
        <w:pStyle w:val="Textkrper-Einzug3"/>
        <w:spacing w:before="120"/>
        <w:ind w:left="0"/>
        <w:jc w:val="both"/>
        <w:rPr>
          <w:rFonts w:asciiTheme="minorHAnsi" w:hAnsiTheme="minorHAnsi" w:cstheme="minorHAnsi"/>
          <w:b/>
          <w:bCs/>
          <w:szCs w:val="24"/>
          <w:lang w:val="en-GB"/>
        </w:rPr>
      </w:pPr>
      <w:r w:rsidRPr="0028074F">
        <w:rPr>
          <w:rFonts w:asciiTheme="minorHAnsi" w:hAnsiTheme="minorHAnsi" w:cstheme="minorHAnsi"/>
          <w:b/>
          <w:bCs/>
          <w:szCs w:val="24"/>
          <w:lang w:val="en-GB"/>
        </w:rPr>
        <w:t>Pregnancy</w:t>
      </w:r>
      <w:bookmarkEnd w:id="46"/>
      <w:bookmarkEnd w:id="47"/>
      <w:bookmarkEnd w:id="48"/>
    </w:p>
    <w:p w14:paraId="5C10059D" w14:textId="77777777" w:rsidR="002C1883" w:rsidRPr="0028074F" w:rsidRDefault="002C1883" w:rsidP="002C1883">
      <w:pPr>
        <w:pStyle w:val="Default"/>
        <w:jc w:val="both"/>
        <w:rPr>
          <w:rFonts w:asciiTheme="minorHAnsi" w:hAnsiTheme="minorHAnsi" w:cstheme="minorHAnsi"/>
          <w:lang w:val="en-US"/>
        </w:rPr>
      </w:pPr>
      <w:r w:rsidRPr="0028074F">
        <w:rPr>
          <w:rFonts w:asciiTheme="minorHAnsi" w:hAnsiTheme="minorHAnsi" w:cstheme="minorHAnsi"/>
          <w:lang w:val="en-US"/>
        </w:rPr>
        <w:t xml:space="preserve">The investigator will collect pregnancy information on any female patient, who becomes pregnant while participating in this clinical trial. The investigator will record pregnancy information on the SAE form (under other medically important condition) and submit it to the sponsor immediately (i.e. within 24 hours after acknowledgment of a patient’s pregnancy). The receipt of reports concerning pregnancy will be confirmed immediately, but not later than three (3) working days after the receipt. Without confirmation after three working days, the investigator has to transmit the report again on the following working day. </w:t>
      </w:r>
    </w:p>
    <w:p w14:paraId="6DB43ADD" w14:textId="77777777" w:rsidR="002C1883" w:rsidRPr="0028074F" w:rsidRDefault="002C1883" w:rsidP="002C1883">
      <w:pPr>
        <w:pStyle w:val="Default"/>
        <w:jc w:val="both"/>
        <w:rPr>
          <w:rFonts w:asciiTheme="minorHAnsi" w:hAnsiTheme="minorHAnsi" w:cstheme="minorHAnsi"/>
          <w:lang w:val="en-US"/>
        </w:rPr>
      </w:pPr>
      <w:r w:rsidRPr="0028074F">
        <w:rPr>
          <w:rFonts w:asciiTheme="minorHAnsi" w:hAnsiTheme="minorHAnsi" w:cstheme="minorHAnsi"/>
          <w:lang w:val="en-US"/>
        </w:rPr>
        <w:t xml:space="preserve">Any patient who becomes pregnant while participating in the trial should discontinue treatment immediately and will be withdrawn from the trial. </w:t>
      </w:r>
    </w:p>
    <w:p w14:paraId="36432087" w14:textId="77777777" w:rsidR="002C1883" w:rsidRPr="0028074F" w:rsidRDefault="002C1883" w:rsidP="002C1883">
      <w:pPr>
        <w:pStyle w:val="Default"/>
        <w:jc w:val="both"/>
        <w:rPr>
          <w:rFonts w:asciiTheme="minorHAnsi" w:hAnsiTheme="minorHAnsi" w:cstheme="minorHAnsi"/>
          <w:lang w:val="en-US"/>
        </w:rPr>
      </w:pPr>
      <w:r w:rsidRPr="0028074F">
        <w:rPr>
          <w:rFonts w:asciiTheme="minorHAnsi" w:hAnsiTheme="minorHAnsi" w:cstheme="minorHAnsi"/>
          <w:lang w:val="en-US"/>
        </w:rPr>
        <w:t xml:space="preserve">The pregnancy must be followed up to determine outcome (including premature termination) and status of mother and child. Generally, follow-up will be no longer than 3 months following the estimated delivery date. Any follow-up information will be sent to the sponsor immediately (i.e. within 24 hours after acknowledgment). </w:t>
      </w:r>
    </w:p>
    <w:p w14:paraId="4843B8C7" w14:textId="77777777" w:rsidR="002C1883" w:rsidRPr="0028074F" w:rsidRDefault="002C1883" w:rsidP="002C1883">
      <w:pPr>
        <w:pStyle w:val="Default"/>
        <w:jc w:val="both"/>
        <w:rPr>
          <w:rFonts w:asciiTheme="minorHAnsi" w:hAnsiTheme="minorHAnsi" w:cstheme="minorHAnsi"/>
          <w:lang w:val="en-US"/>
        </w:rPr>
      </w:pPr>
      <w:r w:rsidRPr="0028074F">
        <w:rPr>
          <w:rFonts w:asciiTheme="minorHAnsi" w:hAnsiTheme="minorHAnsi" w:cstheme="minorHAnsi"/>
          <w:lang w:val="en-US"/>
        </w:rPr>
        <w:t xml:space="preserve">Newly diagnosed pregnancy in a clinical trial patient is not considered to be an AE or SAE unless meeting seriousness criteria, or it is suspected that the IMP interacted with a contraceptive method and led to pregnancy. </w:t>
      </w:r>
    </w:p>
    <w:p w14:paraId="69148D0C" w14:textId="77777777" w:rsidR="002C1883" w:rsidRPr="0028074F" w:rsidRDefault="002C1883" w:rsidP="002C1883">
      <w:pPr>
        <w:pStyle w:val="Default"/>
        <w:jc w:val="both"/>
        <w:rPr>
          <w:rFonts w:asciiTheme="minorHAnsi" w:hAnsiTheme="minorHAnsi" w:cstheme="minorHAnsi"/>
          <w:lang w:val="en-US"/>
        </w:rPr>
      </w:pPr>
      <w:r w:rsidRPr="0028074F">
        <w:rPr>
          <w:rFonts w:asciiTheme="minorHAnsi" w:hAnsiTheme="minorHAnsi" w:cstheme="minorHAnsi"/>
          <w:lang w:val="en-US"/>
        </w:rPr>
        <w:t xml:space="preserve">Pregnancy complications and elective terminations for medical reasons must be reported as an AE or SAE. Spontaneous abortions must be reported as an SAE. </w:t>
      </w:r>
    </w:p>
    <w:p w14:paraId="5473EEA2" w14:textId="77777777" w:rsidR="002C1883" w:rsidRPr="0028074F" w:rsidRDefault="002C1883" w:rsidP="002C1883">
      <w:pPr>
        <w:pStyle w:val="Textkrper-Einzug3"/>
        <w:ind w:left="0"/>
        <w:jc w:val="both"/>
        <w:rPr>
          <w:rFonts w:asciiTheme="minorHAnsi" w:hAnsiTheme="minorHAnsi" w:cstheme="minorHAnsi"/>
          <w:szCs w:val="24"/>
          <w:lang w:val="en-GB"/>
        </w:rPr>
      </w:pPr>
      <w:r w:rsidRPr="0028074F">
        <w:rPr>
          <w:rFonts w:asciiTheme="minorHAnsi" w:hAnsiTheme="minorHAnsi" w:cstheme="minorHAnsi"/>
          <w:szCs w:val="24"/>
          <w:lang w:val="en-US"/>
        </w:rPr>
        <w:t>Furthermore, any SAE occurring as in association with a pregnancy (in cases where the pregnancy occurred after the end of the trial participation of the patient) brought to the investigator’s attention after the patient has completed the trial and considered by the investigator as reasonably related to the IMP must be promptly reported to the sponsor.</w:t>
      </w:r>
      <w:r w:rsidRPr="0028074F">
        <w:rPr>
          <w:rFonts w:asciiTheme="minorHAnsi" w:hAnsiTheme="minorHAnsi" w:cstheme="minorHAnsi"/>
          <w:szCs w:val="24"/>
          <w:lang w:val="en-GB"/>
        </w:rPr>
        <w:t xml:space="preserve"> </w:t>
      </w:r>
    </w:p>
    <w:p w14:paraId="7E969E8E" w14:textId="77777777" w:rsidR="002C1883" w:rsidRPr="0028074F" w:rsidRDefault="002C1883" w:rsidP="002C1883">
      <w:pPr>
        <w:jc w:val="both"/>
        <w:rPr>
          <w:rFonts w:cstheme="minorHAnsi"/>
          <w:sz w:val="24"/>
          <w:szCs w:val="24"/>
          <w:lang w:val="en-GB"/>
        </w:rPr>
      </w:pPr>
    </w:p>
    <w:p w14:paraId="492322AB" w14:textId="024D06A9" w:rsidR="007A41A4" w:rsidRPr="0028074F" w:rsidRDefault="007A41A4">
      <w:pPr>
        <w:rPr>
          <w:rFonts w:cstheme="minorHAnsi"/>
          <w:sz w:val="24"/>
          <w:szCs w:val="24"/>
          <w:u w:val="single"/>
          <w:lang w:val="en-GB"/>
        </w:rPr>
      </w:pPr>
      <w:r w:rsidRPr="0028074F">
        <w:rPr>
          <w:rFonts w:cstheme="minorHAnsi"/>
          <w:sz w:val="24"/>
          <w:szCs w:val="24"/>
          <w:u w:val="single"/>
          <w:lang w:val="en-GB"/>
        </w:rPr>
        <w:lastRenderedPageBreak/>
        <w:t>Premature termination of the individual patient</w:t>
      </w:r>
    </w:p>
    <w:p w14:paraId="69175641" w14:textId="77777777" w:rsidR="002C1883" w:rsidRPr="0028074F" w:rsidRDefault="002C1883" w:rsidP="002C1883">
      <w:pPr>
        <w:jc w:val="both"/>
        <w:rPr>
          <w:rFonts w:cstheme="minorHAnsi"/>
          <w:sz w:val="24"/>
          <w:szCs w:val="24"/>
          <w:lang w:val="en-GB"/>
        </w:rPr>
      </w:pPr>
      <w:r w:rsidRPr="0028074F">
        <w:rPr>
          <w:rFonts w:cstheme="minorHAnsi"/>
          <w:sz w:val="24"/>
          <w:szCs w:val="24"/>
          <w:lang w:val="en-GB"/>
        </w:rPr>
        <w:t xml:space="preserve">Subjects must be informed about their right to withdraw from the study at any time and for any reason without sanction, penalty, or loss of benefits to which the subject is otherwise entitled. Withdrawal from the study will not jeopardize their future medical care or relationship with the investigator. Subjects will be asked to specify the reason for their termination, but have the right not to answer. </w:t>
      </w:r>
    </w:p>
    <w:p w14:paraId="3F54E8A2" w14:textId="77777777" w:rsidR="002C1883" w:rsidRPr="0028074F" w:rsidRDefault="002C1883" w:rsidP="002C1883">
      <w:pPr>
        <w:jc w:val="both"/>
        <w:rPr>
          <w:rFonts w:cstheme="minorHAnsi"/>
          <w:sz w:val="24"/>
          <w:szCs w:val="24"/>
          <w:lang w:val="en-GB"/>
        </w:rPr>
      </w:pPr>
      <w:r w:rsidRPr="0028074F">
        <w:rPr>
          <w:rFonts w:cstheme="minorHAnsi"/>
          <w:sz w:val="24"/>
          <w:szCs w:val="24"/>
          <w:lang w:val="en-GB"/>
        </w:rPr>
        <w:t>The investigator may decide to withdraw a subject from the study at any time with reasonable rationale. The subject’s future care will not be influenced by a decision, voluntary or otherwise, to withdraw from the study. All reasonable efforts should be made to retain the subject in the study until completion of the study.</w:t>
      </w:r>
    </w:p>
    <w:p w14:paraId="376D73B5" w14:textId="77777777" w:rsidR="002C1883" w:rsidRPr="0028074F" w:rsidRDefault="002C1883" w:rsidP="008502CD">
      <w:pPr>
        <w:spacing w:after="0"/>
        <w:jc w:val="both"/>
        <w:rPr>
          <w:rFonts w:cstheme="minorHAnsi"/>
          <w:sz w:val="24"/>
          <w:szCs w:val="24"/>
          <w:lang w:val="en-GB"/>
        </w:rPr>
      </w:pPr>
      <w:r w:rsidRPr="0028074F">
        <w:rPr>
          <w:rFonts w:cstheme="minorHAnsi"/>
          <w:sz w:val="24"/>
          <w:szCs w:val="24"/>
          <w:lang w:val="en-GB"/>
        </w:rPr>
        <w:t>The reason for withdrawal of a patient should be recorded, if possible, in the eCRF and in the</w:t>
      </w:r>
    </w:p>
    <w:p w14:paraId="7CFCACF5" w14:textId="2B360F48" w:rsidR="002C1883" w:rsidRPr="0028074F" w:rsidRDefault="002C1883" w:rsidP="008502CD">
      <w:pPr>
        <w:spacing w:after="0"/>
        <w:jc w:val="both"/>
        <w:rPr>
          <w:rFonts w:cstheme="minorHAnsi"/>
          <w:sz w:val="24"/>
          <w:szCs w:val="24"/>
          <w:lang w:val="en-GB"/>
        </w:rPr>
      </w:pPr>
      <w:r w:rsidRPr="0028074F">
        <w:rPr>
          <w:rFonts w:cstheme="minorHAnsi"/>
          <w:sz w:val="24"/>
          <w:szCs w:val="24"/>
          <w:lang w:val="en-GB"/>
        </w:rPr>
        <w:t>subject’s records (Withdrawal of Consent Form).</w:t>
      </w:r>
    </w:p>
    <w:p w14:paraId="53F5023D" w14:textId="77777777" w:rsidR="000379B4" w:rsidRPr="0028074F" w:rsidRDefault="000379B4" w:rsidP="008502CD">
      <w:pPr>
        <w:spacing w:after="0"/>
        <w:jc w:val="both"/>
        <w:rPr>
          <w:rFonts w:cstheme="minorHAnsi"/>
          <w:sz w:val="24"/>
          <w:szCs w:val="24"/>
          <w:lang w:val="en-GB"/>
        </w:rPr>
      </w:pPr>
    </w:p>
    <w:p w14:paraId="04843AC7" w14:textId="77777777" w:rsidR="002C1883" w:rsidRPr="0028074F" w:rsidRDefault="002C1883" w:rsidP="002C1883">
      <w:pPr>
        <w:jc w:val="both"/>
        <w:rPr>
          <w:rFonts w:cstheme="minorHAnsi"/>
          <w:sz w:val="24"/>
          <w:szCs w:val="24"/>
          <w:lang w:val="en-GB"/>
        </w:rPr>
      </w:pPr>
      <w:r w:rsidRPr="0028074F">
        <w:rPr>
          <w:rFonts w:cstheme="minorHAnsi"/>
          <w:sz w:val="24"/>
          <w:szCs w:val="24"/>
          <w:lang w:val="en-GB"/>
        </w:rPr>
        <w:t>A subject who withdraws Informed Consent before randomization or who develops a condition infringing with selection criteria before randomization is defined as a screening failure. No follow‐up of screening failures will be performed.</w:t>
      </w:r>
    </w:p>
    <w:p w14:paraId="5FCF9CDD" w14:textId="77777777" w:rsidR="002C1883" w:rsidRPr="0028074F" w:rsidRDefault="002C1883" w:rsidP="002C1883">
      <w:pPr>
        <w:jc w:val="both"/>
        <w:rPr>
          <w:rFonts w:cstheme="minorHAnsi"/>
          <w:sz w:val="24"/>
          <w:szCs w:val="24"/>
          <w:u w:val="single"/>
          <w:lang w:val="en-GB"/>
        </w:rPr>
      </w:pPr>
    </w:p>
    <w:p w14:paraId="3AC1A972" w14:textId="77777777" w:rsidR="002C1883" w:rsidRPr="0028074F" w:rsidRDefault="002C1883" w:rsidP="002C1883">
      <w:pPr>
        <w:jc w:val="both"/>
        <w:rPr>
          <w:rFonts w:cstheme="minorHAnsi"/>
          <w:sz w:val="24"/>
          <w:szCs w:val="24"/>
          <w:u w:val="single"/>
          <w:lang w:val="en-GB"/>
        </w:rPr>
      </w:pPr>
      <w:r w:rsidRPr="0028074F">
        <w:rPr>
          <w:rFonts w:cstheme="minorHAnsi"/>
          <w:sz w:val="24"/>
          <w:szCs w:val="24"/>
          <w:u w:val="single"/>
          <w:lang w:val="en-GB"/>
        </w:rPr>
        <w:t>The following events must cause premature termination of the individual subject:</w:t>
      </w:r>
    </w:p>
    <w:p w14:paraId="328E481E" w14:textId="77777777" w:rsidR="002C1883" w:rsidRPr="0028074F" w:rsidRDefault="002C1883" w:rsidP="002C1883">
      <w:pPr>
        <w:numPr>
          <w:ilvl w:val="0"/>
          <w:numId w:val="2"/>
        </w:numPr>
        <w:tabs>
          <w:tab w:val="clear" w:pos="720"/>
          <w:tab w:val="num" w:pos="355"/>
        </w:tabs>
        <w:spacing w:after="0" w:line="240" w:lineRule="auto"/>
        <w:ind w:hanging="649"/>
        <w:jc w:val="both"/>
        <w:rPr>
          <w:rFonts w:cstheme="minorHAnsi"/>
          <w:sz w:val="24"/>
          <w:szCs w:val="24"/>
          <w:lang w:val="en-GB"/>
        </w:rPr>
      </w:pPr>
      <w:r w:rsidRPr="0028074F">
        <w:rPr>
          <w:rFonts w:cstheme="minorHAnsi"/>
          <w:sz w:val="24"/>
          <w:szCs w:val="24"/>
          <w:lang w:val="en-GB"/>
        </w:rPr>
        <w:t>Unblinding in case of a medical emergency</w:t>
      </w:r>
    </w:p>
    <w:p w14:paraId="1771683D" w14:textId="77777777" w:rsidR="002C1883" w:rsidRPr="0028074F" w:rsidRDefault="002C1883" w:rsidP="002C1883">
      <w:pPr>
        <w:numPr>
          <w:ilvl w:val="0"/>
          <w:numId w:val="2"/>
        </w:numPr>
        <w:tabs>
          <w:tab w:val="clear" w:pos="720"/>
          <w:tab w:val="num" w:pos="355"/>
        </w:tabs>
        <w:spacing w:after="0" w:line="240" w:lineRule="auto"/>
        <w:ind w:left="426" w:hanging="355"/>
        <w:jc w:val="both"/>
        <w:rPr>
          <w:rFonts w:cstheme="minorHAnsi"/>
          <w:sz w:val="24"/>
          <w:szCs w:val="24"/>
          <w:lang w:val="en-GB"/>
        </w:rPr>
      </w:pPr>
      <w:r w:rsidRPr="0028074F">
        <w:rPr>
          <w:rFonts w:cstheme="minorHAnsi"/>
          <w:sz w:val="24"/>
          <w:szCs w:val="24"/>
          <w:lang w:val="en-GB"/>
        </w:rPr>
        <w:t>The participant meets an exclusion criterion (either newly developed or not previously recognized) that precludes further study</w:t>
      </w:r>
    </w:p>
    <w:p w14:paraId="74B8AE9E" w14:textId="77777777" w:rsidR="002C1883" w:rsidRPr="0028074F" w:rsidRDefault="002C1883" w:rsidP="002C1883">
      <w:pPr>
        <w:numPr>
          <w:ilvl w:val="0"/>
          <w:numId w:val="2"/>
        </w:numPr>
        <w:tabs>
          <w:tab w:val="clear" w:pos="720"/>
          <w:tab w:val="num" w:pos="355"/>
        </w:tabs>
        <w:spacing w:after="0" w:line="240" w:lineRule="auto"/>
        <w:ind w:hanging="649"/>
        <w:jc w:val="both"/>
        <w:rPr>
          <w:rFonts w:cstheme="minorHAnsi"/>
          <w:sz w:val="24"/>
          <w:szCs w:val="24"/>
          <w:lang w:val="en-GB"/>
        </w:rPr>
      </w:pPr>
      <w:r w:rsidRPr="0028074F">
        <w:rPr>
          <w:rFonts w:cstheme="minorHAnsi"/>
          <w:sz w:val="24"/>
          <w:szCs w:val="24"/>
          <w:lang w:val="en-GB"/>
        </w:rPr>
        <w:t>Pregnancy</w:t>
      </w:r>
    </w:p>
    <w:p w14:paraId="6C0FE805" w14:textId="77777777" w:rsidR="002C1883" w:rsidRPr="0028074F" w:rsidRDefault="002C1883" w:rsidP="002C1883">
      <w:pPr>
        <w:numPr>
          <w:ilvl w:val="0"/>
          <w:numId w:val="2"/>
        </w:numPr>
        <w:tabs>
          <w:tab w:val="clear" w:pos="720"/>
          <w:tab w:val="num" w:pos="355"/>
        </w:tabs>
        <w:spacing w:after="0" w:line="240" w:lineRule="auto"/>
        <w:ind w:hanging="649"/>
        <w:jc w:val="both"/>
        <w:rPr>
          <w:rFonts w:cstheme="minorHAnsi"/>
          <w:sz w:val="24"/>
          <w:szCs w:val="24"/>
          <w:lang w:val="en-GB"/>
        </w:rPr>
      </w:pPr>
      <w:r w:rsidRPr="0028074F">
        <w:rPr>
          <w:rFonts w:cstheme="minorHAnsi"/>
          <w:sz w:val="24"/>
          <w:szCs w:val="24"/>
          <w:lang w:val="en-GB"/>
        </w:rPr>
        <w:t xml:space="preserve">Consent withdrawn by patient </w:t>
      </w:r>
    </w:p>
    <w:p w14:paraId="3944F523" w14:textId="77777777" w:rsidR="002C1883" w:rsidRPr="0028074F" w:rsidRDefault="002C1883" w:rsidP="002C1883">
      <w:pPr>
        <w:numPr>
          <w:ilvl w:val="0"/>
          <w:numId w:val="2"/>
        </w:numPr>
        <w:tabs>
          <w:tab w:val="clear" w:pos="720"/>
          <w:tab w:val="num" w:pos="355"/>
        </w:tabs>
        <w:spacing w:after="0" w:line="240" w:lineRule="auto"/>
        <w:ind w:left="426" w:hanging="355"/>
        <w:jc w:val="both"/>
        <w:rPr>
          <w:rFonts w:cstheme="minorHAnsi"/>
          <w:sz w:val="24"/>
          <w:szCs w:val="24"/>
          <w:lang w:val="en-GB"/>
        </w:rPr>
      </w:pPr>
      <w:r w:rsidRPr="0028074F">
        <w:rPr>
          <w:rFonts w:cstheme="minorHAnsi"/>
          <w:sz w:val="24"/>
          <w:szCs w:val="24"/>
          <w:lang w:val="en-GB"/>
        </w:rPr>
        <w:t xml:space="preserve">Events with a score &gt; 3 according to the CTCAE catalogue (Common Terminology Criteria for Adverse Events, Version 5.0) </w:t>
      </w:r>
    </w:p>
    <w:p w14:paraId="6737A40E" w14:textId="77777777" w:rsidR="000C3D8D" w:rsidRPr="0028074F" w:rsidRDefault="002C1883" w:rsidP="000C3D8D">
      <w:pPr>
        <w:numPr>
          <w:ilvl w:val="0"/>
          <w:numId w:val="2"/>
        </w:numPr>
        <w:tabs>
          <w:tab w:val="clear" w:pos="720"/>
          <w:tab w:val="num" w:pos="355"/>
        </w:tabs>
        <w:spacing w:after="0" w:line="240" w:lineRule="auto"/>
        <w:ind w:hanging="649"/>
        <w:jc w:val="both"/>
        <w:rPr>
          <w:rFonts w:cstheme="minorHAnsi"/>
          <w:sz w:val="24"/>
          <w:szCs w:val="24"/>
          <w:lang w:val="en-GB"/>
        </w:rPr>
      </w:pPr>
      <w:r w:rsidRPr="0028074F">
        <w:rPr>
          <w:rFonts w:cstheme="minorHAnsi"/>
          <w:sz w:val="24"/>
          <w:szCs w:val="24"/>
          <w:lang w:val="en-GB"/>
        </w:rPr>
        <w:t xml:space="preserve">Complete missing of two consecutive visits </w:t>
      </w:r>
      <w:bookmarkStart w:id="49" w:name="_Toc28868148"/>
      <w:bookmarkStart w:id="50" w:name="_Toc28870000"/>
      <w:bookmarkStart w:id="51" w:name="_Toc31039083"/>
    </w:p>
    <w:p w14:paraId="2519C392" w14:textId="77777777" w:rsidR="000C3D8D" w:rsidRPr="0028074F" w:rsidRDefault="000C3D8D" w:rsidP="000C3D8D">
      <w:pPr>
        <w:spacing w:after="0" w:line="240" w:lineRule="auto"/>
        <w:ind w:left="720"/>
        <w:jc w:val="both"/>
        <w:rPr>
          <w:rFonts w:cstheme="minorHAnsi"/>
          <w:sz w:val="24"/>
          <w:szCs w:val="24"/>
          <w:lang w:val="en-GB"/>
        </w:rPr>
      </w:pPr>
    </w:p>
    <w:p w14:paraId="3D3B08B8" w14:textId="77777777" w:rsidR="000C3D8D" w:rsidRPr="0028074F" w:rsidRDefault="000C3D8D" w:rsidP="000C3D8D">
      <w:pPr>
        <w:spacing w:after="0" w:line="240" w:lineRule="auto"/>
        <w:ind w:left="71"/>
        <w:jc w:val="both"/>
        <w:rPr>
          <w:rFonts w:cstheme="minorHAnsi"/>
          <w:sz w:val="24"/>
          <w:szCs w:val="24"/>
          <w:lang w:val="en-GB"/>
        </w:rPr>
      </w:pPr>
    </w:p>
    <w:p w14:paraId="6A10C27D" w14:textId="687074BB" w:rsidR="002C1883" w:rsidRPr="0028074F" w:rsidRDefault="002C1883" w:rsidP="000C3D8D">
      <w:pPr>
        <w:spacing w:after="0" w:line="240" w:lineRule="auto"/>
        <w:ind w:left="71"/>
        <w:jc w:val="both"/>
        <w:rPr>
          <w:rFonts w:cstheme="minorHAnsi"/>
          <w:sz w:val="24"/>
          <w:szCs w:val="24"/>
          <w:u w:val="single"/>
          <w:lang w:val="en-GB"/>
        </w:rPr>
      </w:pPr>
      <w:r w:rsidRPr="0028074F">
        <w:rPr>
          <w:rFonts w:cstheme="minorHAnsi"/>
          <w:sz w:val="24"/>
          <w:szCs w:val="24"/>
          <w:u w:val="single"/>
          <w:lang w:val="en-GB"/>
        </w:rPr>
        <w:t>Premature termination of the clinical study</w:t>
      </w:r>
      <w:bookmarkEnd w:id="49"/>
      <w:bookmarkEnd w:id="50"/>
      <w:bookmarkEnd w:id="51"/>
    </w:p>
    <w:p w14:paraId="20022CFF" w14:textId="77777777" w:rsidR="002C1883" w:rsidRPr="0028074F" w:rsidRDefault="002C1883" w:rsidP="002C1883">
      <w:pPr>
        <w:pStyle w:val="Textbaustein"/>
        <w:jc w:val="both"/>
        <w:rPr>
          <w:rFonts w:asciiTheme="minorHAnsi" w:hAnsiTheme="minorHAnsi" w:cstheme="minorHAnsi"/>
          <w:i w:val="0"/>
          <w:color w:val="auto"/>
          <w:szCs w:val="24"/>
          <w:lang w:val="en-GB"/>
        </w:rPr>
      </w:pPr>
    </w:p>
    <w:p w14:paraId="0E850895" w14:textId="77777777" w:rsidR="002C1883" w:rsidRPr="0028074F" w:rsidRDefault="002C1883" w:rsidP="002C1883">
      <w:pPr>
        <w:ind w:left="71"/>
        <w:rPr>
          <w:rFonts w:cstheme="minorHAnsi"/>
          <w:sz w:val="24"/>
          <w:szCs w:val="24"/>
          <w:u w:val="single"/>
          <w:lang w:val="en-GB"/>
        </w:rPr>
      </w:pPr>
      <w:r w:rsidRPr="0028074F">
        <w:rPr>
          <w:rFonts w:cstheme="minorHAnsi"/>
          <w:sz w:val="24"/>
          <w:szCs w:val="24"/>
          <w:u w:val="single"/>
          <w:lang w:val="en-GB"/>
        </w:rPr>
        <w:t xml:space="preserve">The following events must cause premature termination of the clinical trial: </w:t>
      </w:r>
    </w:p>
    <w:p w14:paraId="20A6FCB8" w14:textId="77777777" w:rsidR="002C1883" w:rsidRPr="0028074F" w:rsidRDefault="002C1883" w:rsidP="002C1883">
      <w:pPr>
        <w:ind w:left="355" w:hanging="284"/>
        <w:rPr>
          <w:rFonts w:cstheme="minorHAnsi"/>
          <w:sz w:val="24"/>
          <w:szCs w:val="24"/>
          <w:lang w:val="en-GB"/>
        </w:rPr>
      </w:pPr>
      <w:r w:rsidRPr="0028074F">
        <w:rPr>
          <w:rFonts w:cstheme="minorHAnsi"/>
          <w:sz w:val="24"/>
          <w:szCs w:val="24"/>
          <w:lang w:val="en-GB"/>
        </w:rPr>
        <w:t>•</w:t>
      </w:r>
      <w:r w:rsidRPr="0028074F">
        <w:rPr>
          <w:rFonts w:cstheme="minorHAnsi"/>
          <w:sz w:val="24"/>
          <w:szCs w:val="24"/>
          <w:lang w:val="en-GB"/>
        </w:rPr>
        <w:tab/>
        <w:t>Unjustifiable risk and negative risk-benefit analysis (decision taken by the sponsor)</w:t>
      </w:r>
    </w:p>
    <w:p w14:paraId="4139E859" w14:textId="77777777" w:rsidR="002C1883" w:rsidRPr="0028074F" w:rsidRDefault="002C1883" w:rsidP="002C1883">
      <w:pPr>
        <w:ind w:left="355" w:hanging="284"/>
        <w:rPr>
          <w:rFonts w:cstheme="minorHAnsi"/>
          <w:sz w:val="24"/>
          <w:szCs w:val="24"/>
          <w:lang w:val="en-GB"/>
        </w:rPr>
      </w:pPr>
      <w:r w:rsidRPr="0028074F">
        <w:rPr>
          <w:rFonts w:cstheme="minorHAnsi"/>
          <w:sz w:val="24"/>
          <w:szCs w:val="24"/>
          <w:lang w:val="en-GB"/>
        </w:rPr>
        <w:t>•</w:t>
      </w:r>
      <w:r w:rsidRPr="0028074F">
        <w:rPr>
          <w:rFonts w:cstheme="minorHAnsi"/>
          <w:sz w:val="24"/>
          <w:szCs w:val="24"/>
          <w:lang w:val="en-GB"/>
        </w:rPr>
        <w:tab/>
        <w:t xml:space="preserve">New scientific evidence provided during the study that could affect the patient’s safety (benefit-risk analysis no longer positive) </w:t>
      </w:r>
    </w:p>
    <w:p w14:paraId="65937F70" w14:textId="77777777" w:rsidR="002C1883" w:rsidRPr="0028074F" w:rsidRDefault="002C1883" w:rsidP="002C1883">
      <w:pPr>
        <w:ind w:left="355" w:hanging="284"/>
        <w:rPr>
          <w:rFonts w:cstheme="minorHAnsi"/>
          <w:sz w:val="24"/>
          <w:szCs w:val="24"/>
          <w:lang w:val="en-GB"/>
        </w:rPr>
      </w:pPr>
      <w:r w:rsidRPr="0028074F">
        <w:rPr>
          <w:rFonts w:cstheme="minorHAnsi"/>
          <w:sz w:val="24"/>
          <w:szCs w:val="24"/>
          <w:lang w:val="en-GB"/>
        </w:rPr>
        <w:t>•</w:t>
      </w:r>
      <w:r w:rsidRPr="0028074F">
        <w:rPr>
          <w:rFonts w:cstheme="minorHAnsi"/>
          <w:sz w:val="24"/>
          <w:szCs w:val="24"/>
          <w:lang w:val="en-GB"/>
        </w:rPr>
        <w:tab/>
        <w:t>Decision of the Sponsor or the Competent Authority that the study should be discontinued or because of withdrawal of a positive vote by a responsible ethics committee.</w:t>
      </w:r>
    </w:p>
    <w:p w14:paraId="668CD51C" w14:textId="77777777" w:rsidR="002C1883" w:rsidRPr="0028074F" w:rsidRDefault="002C1883" w:rsidP="002C1883">
      <w:pPr>
        <w:ind w:left="355" w:hanging="284"/>
        <w:rPr>
          <w:rFonts w:cstheme="minorHAnsi"/>
          <w:sz w:val="24"/>
          <w:szCs w:val="24"/>
          <w:lang w:val="en-GB"/>
        </w:rPr>
      </w:pPr>
    </w:p>
    <w:p w14:paraId="43D882D1" w14:textId="77777777" w:rsidR="002C1883" w:rsidRPr="0028074F" w:rsidRDefault="002C1883" w:rsidP="002C1883">
      <w:pPr>
        <w:ind w:left="355" w:hanging="284"/>
        <w:rPr>
          <w:rFonts w:cstheme="minorHAnsi"/>
          <w:sz w:val="24"/>
          <w:szCs w:val="24"/>
          <w:lang w:val="en-GB"/>
        </w:rPr>
      </w:pPr>
      <w:r w:rsidRPr="0028074F">
        <w:rPr>
          <w:rFonts w:cstheme="minorHAnsi"/>
          <w:sz w:val="24"/>
          <w:szCs w:val="24"/>
          <w:lang w:val="en-GB"/>
        </w:rPr>
        <w:t>Sponsor may terminate the trial at an individual study centre, if</w:t>
      </w:r>
    </w:p>
    <w:p w14:paraId="641F5820" w14:textId="77777777" w:rsidR="002C1883" w:rsidRPr="0028074F" w:rsidRDefault="002C1883" w:rsidP="002C1883">
      <w:pPr>
        <w:ind w:left="567" w:hanging="425"/>
        <w:rPr>
          <w:rFonts w:cstheme="minorHAnsi"/>
          <w:sz w:val="24"/>
          <w:szCs w:val="24"/>
          <w:lang w:val="en-GB"/>
        </w:rPr>
      </w:pPr>
      <w:r w:rsidRPr="0028074F">
        <w:rPr>
          <w:rFonts w:cstheme="minorHAnsi"/>
          <w:sz w:val="24"/>
          <w:szCs w:val="24"/>
          <w:lang w:val="en-GB"/>
        </w:rPr>
        <w:lastRenderedPageBreak/>
        <w:t>• the investigator no longer considers the risk-benefit ratio to be reasonable,</w:t>
      </w:r>
    </w:p>
    <w:p w14:paraId="2184B96A" w14:textId="77777777" w:rsidR="002C1883" w:rsidRPr="0028074F" w:rsidRDefault="002C1883" w:rsidP="002C1883">
      <w:pPr>
        <w:ind w:left="567" w:hanging="425"/>
        <w:rPr>
          <w:rFonts w:cstheme="minorHAnsi"/>
          <w:sz w:val="24"/>
          <w:szCs w:val="24"/>
          <w:lang w:val="en-GB"/>
        </w:rPr>
      </w:pPr>
      <w:r w:rsidRPr="0028074F">
        <w:rPr>
          <w:rFonts w:cstheme="minorHAnsi"/>
          <w:sz w:val="24"/>
          <w:szCs w:val="24"/>
          <w:lang w:val="en-GB"/>
        </w:rPr>
        <w:t>• the centre’s recruitment rate is too low,</w:t>
      </w:r>
    </w:p>
    <w:p w14:paraId="7BC9DFA9" w14:textId="77777777" w:rsidR="002C1883" w:rsidRPr="0028074F" w:rsidRDefault="002C1883" w:rsidP="002C1883">
      <w:pPr>
        <w:ind w:left="567" w:hanging="425"/>
        <w:rPr>
          <w:rFonts w:cstheme="minorHAnsi"/>
          <w:sz w:val="24"/>
          <w:szCs w:val="24"/>
          <w:lang w:val="en-GB"/>
        </w:rPr>
      </w:pPr>
      <w:r w:rsidRPr="0028074F">
        <w:rPr>
          <w:rFonts w:cstheme="minorHAnsi"/>
          <w:sz w:val="24"/>
          <w:szCs w:val="24"/>
          <w:lang w:val="en-GB"/>
        </w:rPr>
        <w:t>• the drop-out rate is unusually high, or</w:t>
      </w:r>
    </w:p>
    <w:p w14:paraId="08FC2B94" w14:textId="77777777" w:rsidR="000C3D8D" w:rsidRPr="0028074F" w:rsidRDefault="002C1883" w:rsidP="000C3D8D">
      <w:pPr>
        <w:ind w:left="567" w:hanging="425"/>
        <w:rPr>
          <w:rFonts w:cstheme="minorHAnsi"/>
          <w:sz w:val="24"/>
          <w:szCs w:val="24"/>
          <w:lang w:val="en-GB"/>
        </w:rPr>
      </w:pPr>
      <w:r w:rsidRPr="0028074F">
        <w:rPr>
          <w:rFonts w:cstheme="minorHAnsi"/>
          <w:sz w:val="24"/>
          <w:szCs w:val="24"/>
          <w:lang w:val="en-GB"/>
        </w:rPr>
        <w:t>• the investigator does not comply with the protocol or other regulations with the necessary care.</w:t>
      </w:r>
      <w:bookmarkStart w:id="52" w:name="_Toc28868149"/>
      <w:bookmarkStart w:id="53" w:name="_Toc28870001"/>
      <w:bookmarkStart w:id="54" w:name="_Toc31039084"/>
    </w:p>
    <w:p w14:paraId="7ED927FB" w14:textId="77777777" w:rsidR="000C3D8D" w:rsidRPr="0028074F" w:rsidRDefault="000C3D8D" w:rsidP="000C3D8D">
      <w:pPr>
        <w:ind w:left="567" w:hanging="425"/>
        <w:rPr>
          <w:rFonts w:cstheme="minorHAnsi"/>
          <w:sz w:val="24"/>
          <w:szCs w:val="24"/>
          <w:lang w:val="en-GB"/>
        </w:rPr>
      </w:pPr>
    </w:p>
    <w:p w14:paraId="13B34A3B" w14:textId="6139BB73" w:rsidR="002C1883" w:rsidRPr="0028074F" w:rsidRDefault="002C1883" w:rsidP="000C3D8D">
      <w:pPr>
        <w:rPr>
          <w:rFonts w:cstheme="minorHAnsi"/>
          <w:b/>
          <w:bCs/>
          <w:sz w:val="24"/>
          <w:szCs w:val="24"/>
          <w:lang w:val="en-GB"/>
        </w:rPr>
      </w:pPr>
      <w:r w:rsidRPr="0028074F">
        <w:rPr>
          <w:rFonts w:cstheme="minorHAnsi"/>
          <w:b/>
          <w:bCs/>
          <w:sz w:val="24"/>
          <w:szCs w:val="24"/>
          <w:lang w:val="en-GB"/>
        </w:rPr>
        <w:t>Follow-up and continuing treatment after regular / premature termination</w:t>
      </w:r>
      <w:bookmarkEnd w:id="52"/>
      <w:bookmarkEnd w:id="53"/>
      <w:bookmarkEnd w:id="54"/>
    </w:p>
    <w:p w14:paraId="6033700E" w14:textId="77777777" w:rsidR="002C1883" w:rsidRPr="0028074F" w:rsidRDefault="002C1883" w:rsidP="002C1883">
      <w:pPr>
        <w:pStyle w:val="Body"/>
        <w:jc w:val="both"/>
        <w:rPr>
          <w:rFonts w:asciiTheme="minorHAnsi" w:hAnsiTheme="minorHAnsi" w:cstheme="minorHAnsi"/>
          <w:lang w:val="en-GB"/>
        </w:rPr>
      </w:pPr>
      <w:r w:rsidRPr="0028074F">
        <w:rPr>
          <w:rFonts w:asciiTheme="minorHAnsi" w:hAnsiTheme="minorHAnsi" w:cstheme="minorHAnsi"/>
          <w:lang w:val="en-GB"/>
        </w:rPr>
        <w:t>After the end of the trial, the patients will be treated according to local standard practice. No further post-trial therapy will be offered by the sponsor.</w:t>
      </w:r>
    </w:p>
    <w:p w14:paraId="305EB2E3" w14:textId="77777777" w:rsidR="002C1883" w:rsidRPr="0028074F" w:rsidRDefault="002C1883" w:rsidP="002C1883">
      <w:pPr>
        <w:pStyle w:val="Body"/>
        <w:jc w:val="both"/>
        <w:rPr>
          <w:rFonts w:asciiTheme="minorHAnsi" w:hAnsiTheme="minorHAnsi" w:cstheme="minorHAnsi"/>
          <w:lang w:val="en-GB"/>
        </w:rPr>
      </w:pPr>
    </w:p>
    <w:p w14:paraId="3C017439" w14:textId="70E10897" w:rsidR="002C1883" w:rsidRPr="0028074F" w:rsidRDefault="002C1883" w:rsidP="002C1883">
      <w:pPr>
        <w:pStyle w:val="Body"/>
        <w:jc w:val="both"/>
        <w:rPr>
          <w:rFonts w:asciiTheme="minorHAnsi" w:hAnsiTheme="minorHAnsi" w:cstheme="minorHAnsi"/>
        </w:rPr>
      </w:pPr>
      <w:r w:rsidRPr="0028074F">
        <w:rPr>
          <w:rFonts w:asciiTheme="minorHAnsi" w:hAnsiTheme="minorHAnsi" w:cstheme="minorHAnsi"/>
        </w:rPr>
        <w:t>In the case of premature termination, the reason for withdrawal must be entered on the appropriate case report form (CRF) page and must be followed for safety and efficacy until 8 days (five times half-life of 36 h) after discontinuation.</w:t>
      </w:r>
    </w:p>
    <w:p w14:paraId="04138DC8" w14:textId="7D32EE1F" w:rsidR="008502CD" w:rsidRPr="0028074F" w:rsidRDefault="008502CD" w:rsidP="002C1883">
      <w:pPr>
        <w:pStyle w:val="Body"/>
        <w:jc w:val="both"/>
        <w:rPr>
          <w:rFonts w:asciiTheme="minorHAnsi" w:hAnsiTheme="minorHAnsi" w:cstheme="minorHAnsi"/>
        </w:rPr>
      </w:pPr>
    </w:p>
    <w:p w14:paraId="7B630AA8" w14:textId="77777777" w:rsidR="008502CD" w:rsidRPr="0028074F" w:rsidRDefault="008502CD" w:rsidP="008502CD">
      <w:pPr>
        <w:jc w:val="both"/>
        <w:rPr>
          <w:rFonts w:cstheme="minorHAnsi"/>
          <w:sz w:val="24"/>
          <w:szCs w:val="24"/>
          <w:u w:val="single"/>
          <w:lang w:val="en-US"/>
        </w:rPr>
      </w:pPr>
      <w:r w:rsidRPr="0028074F">
        <w:rPr>
          <w:rFonts w:cstheme="minorHAnsi"/>
          <w:sz w:val="24"/>
          <w:szCs w:val="24"/>
          <w:u w:val="single"/>
          <w:lang w:val="en-US"/>
        </w:rPr>
        <w:t>Audits</w:t>
      </w:r>
    </w:p>
    <w:p w14:paraId="219CC9D7" w14:textId="77777777" w:rsidR="008502CD" w:rsidRPr="0028074F" w:rsidRDefault="008502CD" w:rsidP="008502CD">
      <w:pPr>
        <w:jc w:val="both"/>
        <w:rPr>
          <w:rFonts w:cstheme="minorHAnsi"/>
          <w:sz w:val="24"/>
          <w:szCs w:val="24"/>
          <w:lang w:val="en-GB"/>
        </w:rPr>
      </w:pPr>
      <w:r w:rsidRPr="0028074F">
        <w:rPr>
          <w:rFonts w:cstheme="minorHAnsi"/>
          <w:sz w:val="24"/>
          <w:szCs w:val="24"/>
          <w:lang w:val="en-GB"/>
        </w:rPr>
        <w:t>Authorised representatives of the Sponsor, a regulatory authority, or an Independent Ethics Committee (IEC) may visit the centre to perform audits or inspections, including source data verification. The purpose of a Sponsor audit or inspection is to systematically and independently examine all study related activities and documents to determine whether these activities were conducted, and data were recorded, analysed, and accurately reported according to the protocol, Good Clinical Practice (GCP), guidelines of the International Conference on Harmonisation (ICH), and any applicable regulatory requirements.</w:t>
      </w:r>
    </w:p>
    <w:p w14:paraId="16F80BDC" w14:textId="77777777" w:rsidR="008502CD" w:rsidRPr="0028074F" w:rsidRDefault="008502CD" w:rsidP="008502CD">
      <w:pPr>
        <w:rPr>
          <w:rFonts w:cstheme="minorHAnsi"/>
          <w:sz w:val="24"/>
          <w:szCs w:val="24"/>
          <w:u w:val="single"/>
          <w:lang w:val="en-US"/>
        </w:rPr>
      </w:pPr>
      <w:r w:rsidRPr="0028074F">
        <w:rPr>
          <w:rFonts w:cstheme="minorHAnsi"/>
          <w:sz w:val="24"/>
          <w:szCs w:val="24"/>
          <w:u w:val="single"/>
          <w:lang w:val="en-US"/>
        </w:rPr>
        <w:t>Ethics and Dissemination</w:t>
      </w:r>
    </w:p>
    <w:p w14:paraId="44EBA6BA" w14:textId="77777777" w:rsidR="008502CD" w:rsidRPr="0028074F" w:rsidRDefault="008502CD" w:rsidP="008502CD">
      <w:pPr>
        <w:pStyle w:val="Bodytext"/>
        <w:ind w:left="0"/>
        <w:jc w:val="both"/>
        <w:rPr>
          <w:rFonts w:asciiTheme="minorHAnsi" w:hAnsiTheme="minorHAnsi" w:cstheme="minorHAnsi"/>
          <w:szCs w:val="24"/>
        </w:rPr>
      </w:pPr>
      <w:r w:rsidRPr="0028074F">
        <w:rPr>
          <w:rFonts w:asciiTheme="minorHAnsi" w:hAnsiTheme="minorHAnsi" w:cstheme="minorHAnsi"/>
          <w:szCs w:val="24"/>
        </w:rPr>
        <w:t>This trial will be conducted in accordance with the current ICH-GCP-guidelines. Good Clinical Practice (GCP) is an international ethical and scientific quality standard for designing, conducting, recording and reporting trials that involve the participation of human subjects. Compliance with this standard provides public assurance that the rights, safety and well-being of trial subjects are protected, consistent with the principles that have their origin in the Declaration of Helsinki, and that the clinical trial data are credible.</w:t>
      </w:r>
    </w:p>
    <w:p w14:paraId="1F680311" w14:textId="77777777" w:rsidR="008502CD" w:rsidRPr="0028074F" w:rsidRDefault="008502CD" w:rsidP="008502CD">
      <w:pPr>
        <w:pStyle w:val="Bodytext"/>
        <w:ind w:left="0"/>
        <w:jc w:val="both"/>
        <w:rPr>
          <w:rFonts w:asciiTheme="minorHAnsi" w:hAnsiTheme="minorHAnsi" w:cstheme="minorHAnsi"/>
          <w:szCs w:val="24"/>
        </w:rPr>
      </w:pPr>
      <w:r w:rsidRPr="0028074F">
        <w:rPr>
          <w:rFonts w:asciiTheme="minorHAnsi" w:hAnsiTheme="minorHAnsi" w:cstheme="minorHAnsi"/>
          <w:szCs w:val="24"/>
        </w:rPr>
        <w:t xml:space="preserve">Study protocol, patient information and consent form will be presented to the relevant Ethics Committee for survey. According to AMG § 42 (1) and GCP-V § 7 the study will only start after ethics approval has been granted. The Ethics Committee will immediately be informed (by the Sponsor) of all changes to the protocol (according to GCP-V § 10) and of all events that could affect a patients safety. The Ethics Committee will also be informed of all suspected SUSARs and of regular or premature termination of the study. The results of study will be published at clincialtrial.gov, international peer-revied journals and presented at international conferences. </w:t>
      </w:r>
    </w:p>
    <w:p w14:paraId="25E60B82" w14:textId="77777777" w:rsidR="008502CD" w:rsidRPr="0028074F" w:rsidRDefault="008502CD" w:rsidP="002C1883">
      <w:pPr>
        <w:pStyle w:val="Body"/>
        <w:jc w:val="both"/>
        <w:rPr>
          <w:rFonts w:asciiTheme="minorHAnsi" w:hAnsiTheme="minorHAnsi" w:cstheme="minorHAnsi"/>
          <w:lang w:val="en-GB"/>
        </w:rPr>
      </w:pPr>
      <w:bookmarkStart w:id="55" w:name="_GoBack"/>
      <w:bookmarkEnd w:id="55"/>
    </w:p>
    <w:sectPr w:rsidR="008502CD" w:rsidRPr="0028074F">
      <w:foot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81FA04" w14:textId="77777777" w:rsidR="004A022A" w:rsidRDefault="004A022A" w:rsidP="00313E68">
      <w:pPr>
        <w:spacing w:after="0" w:line="240" w:lineRule="auto"/>
      </w:pPr>
      <w:r>
        <w:separator/>
      </w:r>
    </w:p>
  </w:endnote>
  <w:endnote w:type="continuationSeparator" w:id="0">
    <w:p w14:paraId="47A9C294" w14:textId="77777777" w:rsidR="004A022A" w:rsidRDefault="004A022A" w:rsidP="00313E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72336753"/>
      <w:docPartObj>
        <w:docPartGallery w:val="Page Numbers (Bottom of Page)"/>
        <w:docPartUnique/>
      </w:docPartObj>
    </w:sdtPr>
    <w:sdtContent>
      <w:p w14:paraId="4FDA8E07" w14:textId="523E9C52" w:rsidR="00313E68" w:rsidRDefault="00313E68">
        <w:pPr>
          <w:pStyle w:val="Fuzeile"/>
          <w:jc w:val="center"/>
        </w:pPr>
        <w:r>
          <w:fldChar w:fldCharType="begin"/>
        </w:r>
        <w:r>
          <w:instrText>PAGE   \* MERGEFORMAT</w:instrText>
        </w:r>
        <w:r>
          <w:fldChar w:fldCharType="separate"/>
        </w:r>
        <w:r>
          <w:rPr>
            <w:noProof/>
          </w:rPr>
          <w:t>9</w:t>
        </w:r>
        <w:r>
          <w:fldChar w:fldCharType="end"/>
        </w:r>
      </w:p>
    </w:sdtContent>
  </w:sdt>
  <w:p w14:paraId="2E0BC724" w14:textId="77777777" w:rsidR="00313E68" w:rsidRDefault="00313E6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EE6FF0" w14:textId="77777777" w:rsidR="004A022A" w:rsidRDefault="004A022A" w:rsidP="00313E68">
      <w:pPr>
        <w:spacing w:after="0" w:line="240" w:lineRule="auto"/>
      </w:pPr>
      <w:r>
        <w:separator/>
      </w:r>
    </w:p>
  </w:footnote>
  <w:footnote w:type="continuationSeparator" w:id="0">
    <w:p w14:paraId="348539E7" w14:textId="77777777" w:rsidR="004A022A" w:rsidRDefault="004A022A" w:rsidP="00313E6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FC90E4F8"/>
    <w:lvl w:ilvl="0">
      <w:start w:val="1"/>
      <w:numFmt w:val="bullet"/>
      <w:pStyle w:val="berschrift9"/>
      <w:lvlText w:val=""/>
      <w:lvlJc w:val="left"/>
      <w:pPr>
        <w:tabs>
          <w:tab w:val="num" w:pos="926"/>
        </w:tabs>
        <w:ind w:left="926" w:hanging="360"/>
      </w:pPr>
      <w:rPr>
        <w:rFonts w:ascii="Symbol" w:hAnsi="Symbol" w:hint="default"/>
      </w:rPr>
    </w:lvl>
  </w:abstractNum>
  <w:abstractNum w:abstractNumId="1" w15:restartNumberingAfterBreak="0">
    <w:nsid w:val="03591CA2"/>
    <w:multiLevelType w:val="multilevel"/>
    <w:tmpl w:val="5F222120"/>
    <w:styleLink w:val="List27"/>
    <w:lvl w:ilvl="0">
      <w:numFmt w:val="bullet"/>
      <w:lvlText w:val="•"/>
      <w:lvlJc w:val="left"/>
      <w:rPr>
        <w:rFonts w:ascii="Arial" w:eastAsia="Arial" w:hAnsi="Arial" w:cs="Arial"/>
        <w:color w:val="000000"/>
        <w:position w:val="0"/>
        <w:u w:color="000000"/>
        <w:lang w:val="en-US"/>
      </w:rPr>
    </w:lvl>
    <w:lvl w:ilvl="1">
      <w:start w:val="1"/>
      <w:numFmt w:val="bullet"/>
      <w:lvlText w:val="o"/>
      <w:lvlJc w:val="left"/>
      <w:rPr>
        <w:rFonts w:ascii="Arial" w:eastAsia="Arial" w:hAnsi="Arial" w:cs="Arial"/>
        <w:color w:val="000000"/>
        <w:position w:val="0"/>
        <w:u w:color="000000"/>
        <w:lang w:val="en-US"/>
      </w:rPr>
    </w:lvl>
    <w:lvl w:ilvl="2">
      <w:start w:val="1"/>
      <w:numFmt w:val="bullet"/>
      <w:lvlText w:val="▪"/>
      <w:lvlJc w:val="left"/>
      <w:rPr>
        <w:rFonts w:ascii="Arial" w:eastAsia="Arial" w:hAnsi="Arial" w:cs="Arial"/>
        <w:color w:val="000000"/>
        <w:position w:val="0"/>
        <w:u w:color="000000"/>
        <w:lang w:val="en-US"/>
      </w:rPr>
    </w:lvl>
    <w:lvl w:ilvl="3">
      <w:start w:val="1"/>
      <w:numFmt w:val="bullet"/>
      <w:lvlText w:val="•"/>
      <w:lvlJc w:val="left"/>
      <w:rPr>
        <w:rFonts w:ascii="Arial" w:eastAsia="Arial" w:hAnsi="Arial" w:cs="Arial"/>
        <w:color w:val="000000"/>
        <w:position w:val="0"/>
        <w:u w:color="000000"/>
        <w:lang w:val="en-US"/>
      </w:rPr>
    </w:lvl>
    <w:lvl w:ilvl="4">
      <w:start w:val="1"/>
      <w:numFmt w:val="bullet"/>
      <w:lvlText w:val="o"/>
      <w:lvlJc w:val="left"/>
      <w:rPr>
        <w:rFonts w:ascii="Arial" w:eastAsia="Arial" w:hAnsi="Arial" w:cs="Arial"/>
        <w:color w:val="000000"/>
        <w:position w:val="0"/>
        <w:u w:color="000000"/>
        <w:lang w:val="en-US"/>
      </w:rPr>
    </w:lvl>
    <w:lvl w:ilvl="5">
      <w:start w:val="1"/>
      <w:numFmt w:val="bullet"/>
      <w:lvlText w:val="▪"/>
      <w:lvlJc w:val="left"/>
      <w:rPr>
        <w:rFonts w:ascii="Arial" w:eastAsia="Arial" w:hAnsi="Arial" w:cs="Arial"/>
        <w:color w:val="000000"/>
        <w:position w:val="0"/>
        <w:u w:color="000000"/>
        <w:lang w:val="en-US"/>
      </w:rPr>
    </w:lvl>
    <w:lvl w:ilvl="6">
      <w:start w:val="1"/>
      <w:numFmt w:val="bullet"/>
      <w:lvlText w:val="•"/>
      <w:lvlJc w:val="left"/>
      <w:rPr>
        <w:rFonts w:ascii="Arial" w:eastAsia="Arial" w:hAnsi="Arial" w:cs="Arial"/>
        <w:color w:val="000000"/>
        <w:position w:val="0"/>
        <w:u w:color="000000"/>
        <w:lang w:val="en-US"/>
      </w:rPr>
    </w:lvl>
    <w:lvl w:ilvl="7">
      <w:start w:val="1"/>
      <w:numFmt w:val="bullet"/>
      <w:lvlText w:val="o"/>
      <w:lvlJc w:val="left"/>
      <w:rPr>
        <w:rFonts w:ascii="Arial" w:eastAsia="Arial" w:hAnsi="Arial" w:cs="Arial"/>
        <w:color w:val="000000"/>
        <w:position w:val="0"/>
        <w:u w:color="000000"/>
        <w:lang w:val="en-US"/>
      </w:rPr>
    </w:lvl>
    <w:lvl w:ilvl="8">
      <w:start w:val="1"/>
      <w:numFmt w:val="bullet"/>
      <w:lvlText w:val="▪"/>
      <w:lvlJc w:val="left"/>
      <w:rPr>
        <w:rFonts w:ascii="Arial" w:eastAsia="Arial" w:hAnsi="Arial" w:cs="Arial"/>
        <w:color w:val="000000"/>
        <w:position w:val="0"/>
        <w:u w:color="000000"/>
        <w:lang w:val="en-US"/>
      </w:rPr>
    </w:lvl>
  </w:abstractNum>
  <w:abstractNum w:abstractNumId="2" w15:restartNumberingAfterBreak="0">
    <w:nsid w:val="1E031EFB"/>
    <w:multiLevelType w:val="hybridMultilevel"/>
    <w:tmpl w:val="B7E8DAD8"/>
    <w:lvl w:ilvl="0" w:tplc="FFFFFFFF">
      <w:start w:val="1"/>
      <w:numFmt w:val="decimal"/>
      <w:lvlText w:val="%1."/>
      <w:lvlJc w:val="left"/>
      <w:pPr>
        <w:tabs>
          <w:tab w:val="num" w:pos="303"/>
        </w:tabs>
        <w:ind w:left="303" w:hanging="360"/>
      </w:pPr>
      <w:rPr>
        <w:rFonts w:hint="default"/>
      </w:rPr>
    </w:lvl>
    <w:lvl w:ilvl="1" w:tplc="FFFFFFFF">
      <w:start w:val="1"/>
      <w:numFmt w:val="bullet"/>
      <w:lvlText w:val=""/>
      <w:lvlJc w:val="left"/>
      <w:pPr>
        <w:tabs>
          <w:tab w:val="num" w:pos="1023"/>
        </w:tabs>
        <w:ind w:left="1023" w:hanging="360"/>
      </w:pPr>
      <w:rPr>
        <w:rFonts w:ascii="Symbol" w:hAnsi="Symbol" w:hint="default"/>
      </w:rPr>
    </w:lvl>
    <w:lvl w:ilvl="2" w:tplc="FFFFFFFF">
      <w:start w:val="1"/>
      <w:numFmt w:val="lowerRoman"/>
      <w:lvlText w:val="%3."/>
      <w:lvlJc w:val="right"/>
      <w:pPr>
        <w:tabs>
          <w:tab w:val="num" w:pos="1743"/>
        </w:tabs>
        <w:ind w:left="1743" w:hanging="180"/>
      </w:pPr>
    </w:lvl>
    <w:lvl w:ilvl="3" w:tplc="FFFFFFFF">
      <w:start w:val="1"/>
      <w:numFmt w:val="bullet"/>
      <w:lvlText w:val=""/>
      <w:lvlJc w:val="left"/>
      <w:pPr>
        <w:tabs>
          <w:tab w:val="num" w:pos="2463"/>
        </w:tabs>
        <w:ind w:left="2463" w:hanging="360"/>
      </w:pPr>
      <w:rPr>
        <w:rFonts w:ascii="Symbol" w:hAnsi="Symbol" w:hint="default"/>
      </w:rPr>
    </w:lvl>
    <w:lvl w:ilvl="4" w:tplc="FFFFFFFF" w:tentative="1">
      <w:start w:val="1"/>
      <w:numFmt w:val="lowerLetter"/>
      <w:lvlText w:val="%5."/>
      <w:lvlJc w:val="left"/>
      <w:pPr>
        <w:tabs>
          <w:tab w:val="num" w:pos="3183"/>
        </w:tabs>
        <w:ind w:left="3183" w:hanging="360"/>
      </w:pPr>
    </w:lvl>
    <w:lvl w:ilvl="5" w:tplc="FFFFFFFF" w:tentative="1">
      <w:start w:val="1"/>
      <w:numFmt w:val="lowerRoman"/>
      <w:lvlText w:val="%6."/>
      <w:lvlJc w:val="right"/>
      <w:pPr>
        <w:tabs>
          <w:tab w:val="num" w:pos="3903"/>
        </w:tabs>
        <w:ind w:left="3903" w:hanging="180"/>
      </w:pPr>
    </w:lvl>
    <w:lvl w:ilvl="6" w:tplc="FFFFFFFF" w:tentative="1">
      <w:start w:val="1"/>
      <w:numFmt w:val="decimal"/>
      <w:lvlText w:val="%7."/>
      <w:lvlJc w:val="left"/>
      <w:pPr>
        <w:tabs>
          <w:tab w:val="num" w:pos="4623"/>
        </w:tabs>
        <w:ind w:left="4623" w:hanging="360"/>
      </w:pPr>
    </w:lvl>
    <w:lvl w:ilvl="7" w:tplc="FFFFFFFF" w:tentative="1">
      <w:start w:val="1"/>
      <w:numFmt w:val="lowerLetter"/>
      <w:lvlText w:val="%8."/>
      <w:lvlJc w:val="left"/>
      <w:pPr>
        <w:tabs>
          <w:tab w:val="num" w:pos="5343"/>
        </w:tabs>
        <w:ind w:left="5343" w:hanging="360"/>
      </w:pPr>
    </w:lvl>
    <w:lvl w:ilvl="8" w:tplc="FFFFFFFF" w:tentative="1">
      <w:start w:val="1"/>
      <w:numFmt w:val="lowerRoman"/>
      <w:lvlText w:val="%9."/>
      <w:lvlJc w:val="right"/>
      <w:pPr>
        <w:tabs>
          <w:tab w:val="num" w:pos="6063"/>
        </w:tabs>
        <w:ind w:left="6063" w:hanging="180"/>
      </w:pPr>
    </w:lvl>
  </w:abstractNum>
  <w:abstractNum w:abstractNumId="3" w15:restartNumberingAfterBreak="0">
    <w:nsid w:val="21F31D8D"/>
    <w:multiLevelType w:val="multilevel"/>
    <w:tmpl w:val="A752A7DE"/>
    <w:lvl w:ilvl="0">
      <w:numFmt w:val="bullet"/>
      <w:lvlText w:val="•"/>
      <w:lvlJc w:val="left"/>
      <w:rPr>
        <w:rFonts w:ascii="Arial" w:eastAsia="Arial" w:hAnsi="Arial" w:cs="Arial"/>
        <w:color w:val="000000"/>
        <w:position w:val="0"/>
        <w:u w:color="000000"/>
        <w:lang w:val="en-US"/>
      </w:rPr>
    </w:lvl>
    <w:lvl w:ilvl="1">
      <w:start w:val="1"/>
      <w:numFmt w:val="bullet"/>
      <w:lvlText w:val="o"/>
      <w:lvlJc w:val="left"/>
      <w:rPr>
        <w:rFonts w:ascii="Arial" w:eastAsia="Arial" w:hAnsi="Arial" w:cs="Arial"/>
        <w:color w:val="000000"/>
        <w:position w:val="0"/>
        <w:u w:color="000000"/>
        <w:lang w:val="en-US"/>
      </w:rPr>
    </w:lvl>
    <w:lvl w:ilvl="2">
      <w:start w:val="1"/>
      <w:numFmt w:val="bullet"/>
      <w:lvlText w:val="▪"/>
      <w:lvlJc w:val="left"/>
      <w:rPr>
        <w:rFonts w:ascii="Arial" w:eastAsia="Arial" w:hAnsi="Arial" w:cs="Arial"/>
        <w:color w:val="000000"/>
        <w:position w:val="0"/>
        <w:u w:color="000000"/>
        <w:lang w:val="en-US"/>
      </w:rPr>
    </w:lvl>
    <w:lvl w:ilvl="3">
      <w:start w:val="1"/>
      <w:numFmt w:val="bullet"/>
      <w:lvlText w:val="•"/>
      <w:lvlJc w:val="left"/>
      <w:rPr>
        <w:rFonts w:ascii="Arial" w:eastAsia="Arial" w:hAnsi="Arial" w:cs="Arial"/>
        <w:color w:val="000000"/>
        <w:position w:val="0"/>
        <w:u w:color="000000"/>
        <w:lang w:val="en-US"/>
      </w:rPr>
    </w:lvl>
    <w:lvl w:ilvl="4">
      <w:start w:val="1"/>
      <w:numFmt w:val="bullet"/>
      <w:lvlText w:val="o"/>
      <w:lvlJc w:val="left"/>
      <w:rPr>
        <w:rFonts w:ascii="Arial" w:eastAsia="Arial" w:hAnsi="Arial" w:cs="Arial"/>
        <w:color w:val="000000"/>
        <w:position w:val="0"/>
        <w:u w:color="000000"/>
        <w:lang w:val="en-US"/>
      </w:rPr>
    </w:lvl>
    <w:lvl w:ilvl="5">
      <w:start w:val="1"/>
      <w:numFmt w:val="bullet"/>
      <w:lvlText w:val="▪"/>
      <w:lvlJc w:val="left"/>
      <w:rPr>
        <w:rFonts w:ascii="Arial" w:eastAsia="Arial" w:hAnsi="Arial" w:cs="Arial"/>
        <w:color w:val="000000"/>
        <w:position w:val="0"/>
        <w:u w:color="000000"/>
        <w:lang w:val="en-US"/>
      </w:rPr>
    </w:lvl>
    <w:lvl w:ilvl="6">
      <w:start w:val="1"/>
      <w:numFmt w:val="bullet"/>
      <w:lvlText w:val="•"/>
      <w:lvlJc w:val="left"/>
      <w:rPr>
        <w:rFonts w:ascii="Arial" w:eastAsia="Arial" w:hAnsi="Arial" w:cs="Arial"/>
        <w:color w:val="000000"/>
        <w:position w:val="0"/>
        <w:u w:color="000000"/>
        <w:lang w:val="en-US"/>
      </w:rPr>
    </w:lvl>
    <w:lvl w:ilvl="7">
      <w:start w:val="1"/>
      <w:numFmt w:val="bullet"/>
      <w:lvlText w:val="o"/>
      <w:lvlJc w:val="left"/>
      <w:rPr>
        <w:rFonts w:ascii="Arial" w:eastAsia="Arial" w:hAnsi="Arial" w:cs="Arial"/>
        <w:color w:val="000000"/>
        <w:position w:val="0"/>
        <w:u w:color="000000"/>
        <w:lang w:val="en-US"/>
      </w:rPr>
    </w:lvl>
    <w:lvl w:ilvl="8">
      <w:start w:val="1"/>
      <w:numFmt w:val="bullet"/>
      <w:lvlText w:val="▪"/>
      <w:lvlJc w:val="left"/>
      <w:rPr>
        <w:rFonts w:ascii="Arial" w:eastAsia="Arial" w:hAnsi="Arial" w:cs="Arial"/>
        <w:color w:val="000000"/>
        <w:position w:val="0"/>
        <w:u w:color="000000"/>
        <w:lang w:val="en-US"/>
      </w:rPr>
    </w:lvl>
  </w:abstractNum>
  <w:abstractNum w:abstractNumId="4" w15:restartNumberingAfterBreak="0">
    <w:nsid w:val="23691FA3"/>
    <w:multiLevelType w:val="multilevel"/>
    <w:tmpl w:val="DF1A9DFC"/>
    <w:lvl w:ilvl="0">
      <w:numFmt w:val="bullet"/>
      <w:lvlText w:val="•"/>
      <w:lvlJc w:val="left"/>
      <w:rPr>
        <w:rFonts w:ascii="Arial" w:eastAsia="Arial" w:hAnsi="Arial" w:cs="Arial"/>
        <w:color w:val="000000"/>
        <w:position w:val="0"/>
        <w:u w:color="000000"/>
        <w:lang w:val="en-US"/>
      </w:rPr>
    </w:lvl>
    <w:lvl w:ilvl="1">
      <w:start w:val="1"/>
      <w:numFmt w:val="bullet"/>
      <w:lvlText w:val="o"/>
      <w:lvlJc w:val="left"/>
      <w:rPr>
        <w:rFonts w:ascii="Arial" w:eastAsia="Arial" w:hAnsi="Arial" w:cs="Arial"/>
        <w:color w:val="000000"/>
        <w:position w:val="0"/>
        <w:u w:color="000000"/>
        <w:lang w:val="en-US"/>
      </w:rPr>
    </w:lvl>
    <w:lvl w:ilvl="2">
      <w:start w:val="1"/>
      <w:numFmt w:val="bullet"/>
      <w:lvlText w:val="▪"/>
      <w:lvlJc w:val="left"/>
      <w:rPr>
        <w:rFonts w:ascii="Arial" w:eastAsia="Arial" w:hAnsi="Arial" w:cs="Arial"/>
        <w:color w:val="000000"/>
        <w:position w:val="0"/>
        <w:u w:color="000000"/>
        <w:lang w:val="en-US"/>
      </w:rPr>
    </w:lvl>
    <w:lvl w:ilvl="3">
      <w:start w:val="1"/>
      <w:numFmt w:val="bullet"/>
      <w:lvlText w:val="•"/>
      <w:lvlJc w:val="left"/>
      <w:rPr>
        <w:rFonts w:ascii="Arial" w:eastAsia="Arial" w:hAnsi="Arial" w:cs="Arial"/>
        <w:color w:val="000000"/>
        <w:position w:val="0"/>
        <w:u w:color="000000"/>
        <w:lang w:val="en-US"/>
      </w:rPr>
    </w:lvl>
    <w:lvl w:ilvl="4">
      <w:start w:val="1"/>
      <w:numFmt w:val="bullet"/>
      <w:lvlText w:val="o"/>
      <w:lvlJc w:val="left"/>
      <w:rPr>
        <w:rFonts w:ascii="Arial" w:eastAsia="Arial" w:hAnsi="Arial" w:cs="Arial"/>
        <w:color w:val="000000"/>
        <w:position w:val="0"/>
        <w:u w:color="000000"/>
        <w:lang w:val="en-US"/>
      </w:rPr>
    </w:lvl>
    <w:lvl w:ilvl="5">
      <w:start w:val="1"/>
      <w:numFmt w:val="bullet"/>
      <w:lvlText w:val="▪"/>
      <w:lvlJc w:val="left"/>
      <w:rPr>
        <w:rFonts w:ascii="Arial" w:eastAsia="Arial" w:hAnsi="Arial" w:cs="Arial"/>
        <w:color w:val="000000"/>
        <w:position w:val="0"/>
        <w:u w:color="000000"/>
        <w:lang w:val="en-US"/>
      </w:rPr>
    </w:lvl>
    <w:lvl w:ilvl="6">
      <w:start w:val="1"/>
      <w:numFmt w:val="bullet"/>
      <w:lvlText w:val="•"/>
      <w:lvlJc w:val="left"/>
      <w:rPr>
        <w:rFonts w:ascii="Arial" w:eastAsia="Arial" w:hAnsi="Arial" w:cs="Arial"/>
        <w:color w:val="000000"/>
        <w:position w:val="0"/>
        <w:u w:color="000000"/>
        <w:lang w:val="en-US"/>
      </w:rPr>
    </w:lvl>
    <w:lvl w:ilvl="7">
      <w:start w:val="1"/>
      <w:numFmt w:val="bullet"/>
      <w:lvlText w:val="o"/>
      <w:lvlJc w:val="left"/>
      <w:rPr>
        <w:rFonts w:ascii="Arial" w:eastAsia="Arial" w:hAnsi="Arial" w:cs="Arial"/>
        <w:color w:val="000000"/>
        <w:position w:val="0"/>
        <w:u w:color="000000"/>
        <w:lang w:val="en-US"/>
      </w:rPr>
    </w:lvl>
    <w:lvl w:ilvl="8">
      <w:start w:val="1"/>
      <w:numFmt w:val="bullet"/>
      <w:lvlText w:val="▪"/>
      <w:lvlJc w:val="left"/>
      <w:rPr>
        <w:rFonts w:ascii="Arial" w:eastAsia="Arial" w:hAnsi="Arial" w:cs="Arial"/>
        <w:color w:val="000000"/>
        <w:position w:val="0"/>
        <w:u w:color="000000"/>
        <w:lang w:val="en-US"/>
      </w:rPr>
    </w:lvl>
  </w:abstractNum>
  <w:abstractNum w:abstractNumId="5" w15:restartNumberingAfterBreak="0">
    <w:nsid w:val="27757785"/>
    <w:multiLevelType w:val="multilevel"/>
    <w:tmpl w:val="FCBC43F8"/>
    <w:lvl w:ilvl="0">
      <w:numFmt w:val="bullet"/>
      <w:lvlText w:val="•"/>
      <w:lvlJc w:val="left"/>
      <w:rPr>
        <w:rFonts w:ascii="Arial" w:eastAsia="Arial" w:hAnsi="Arial" w:cs="Arial"/>
        <w:color w:val="000000"/>
        <w:position w:val="0"/>
        <w:u w:color="000000"/>
        <w:lang w:val="en-US"/>
      </w:rPr>
    </w:lvl>
    <w:lvl w:ilvl="1">
      <w:start w:val="1"/>
      <w:numFmt w:val="bullet"/>
      <w:lvlText w:val="o"/>
      <w:lvlJc w:val="left"/>
      <w:rPr>
        <w:rFonts w:ascii="Arial" w:eastAsia="Arial" w:hAnsi="Arial" w:cs="Arial"/>
        <w:color w:val="000000"/>
        <w:position w:val="0"/>
        <w:u w:color="000000"/>
        <w:lang w:val="en-US"/>
      </w:rPr>
    </w:lvl>
    <w:lvl w:ilvl="2">
      <w:start w:val="1"/>
      <w:numFmt w:val="bullet"/>
      <w:lvlText w:val="▪"/>
      <w:lvlJc w:val="left"/>
      <w:rPr>
        <w:rFonts w:ascii="Arial" w:eastAsia="Arial" w:hAnsi="Arial" w:cs="Arial"/>
        <w:color w:val="000000"/>
        <w:position w:val="0"/>
        <w:u w:color="000000"/>
        <w:lang w:val="en-US"/>
      </w:rPr>
    </w:lvl>
    <w:lvl w:ilvl="3">
      <w:start w:val="1"/>
      <w:numFmt w:val="bullet"/>
      <w:lvlText w:val="•"/>
      <w:lvlJc w:val="left"/>
      <w:rPr>
        <w:rFonts w:ascii="Arial" w:eastAsia="Arial" w:hAnsi="Arial" w:cs="Arial"/>
        <w:color w:val="000000"/>
        <w:position w:val="0"/>
        <w:u w:color="000000"/>
        <w:lang w:val="en-US"/>
      </w:rPr>
    </w:lvl>
    <w:lvl w:ilvl="4">
      <w:start w:val="1"/>
      <w:numFmt w:val="bullet"/>
      <w:lvlText w:val="o"/>
      <w:lvlJc w:val="left"/>
      <w:rPr>
        <w:rFonts w:ascii="Arial" w:eastAsia="Arial" w:hAnsi="Arial" w:cs="Arial"/>
        <w:color w:val="000000"/>
        <w:position w:val="0"/>
        <w:u w:color="000000"/>
        <w:lang w:val="en-US"/>
      </w:rPr>
    </w:lvl>
    <w:lvl w:ilvl="5">
      <w:start w:val="1"/>
      <w:numFmt w:val="bullet"/>
      <w:lvlText w:val="▪"/>
      <w:lvlJc w:val="left"/>
      <w:rPr>
        <w:rFonts w:ascii="Arial" w:eastAsia="Arial" w:hAnsi="Arial" w:cs="Arial"/>
        <w:color w:val="000000"/>
        <w:position w:val="0"/>
        <w:u w:color="000000"/>
        <w:lang w:val="en-US"/>
      </w:rPr>
    </w:lvl>
    <w:lvl w:ilvl="6">
      <w:start w:val="1"/>
      <w:numFmt w:val="bullet"/>
      <w:lvlText w:val="•"/>
      <w:lvlJc w:val="left"/>
      <w:rPr>
        <w:rFonts w:ascii="Arial" w:eastAsia="Arial" w:hAnsi="Arial" w:cs="Arial"/>
        <w:color w:val="000000"/>
        <w:position w:val="0"/>
        <w:u w:color="000000"/>
        <w:lang w:val="en-US"/>
      </w:rPr>
    </w:lvl>
    <w:lvl w:ilvl="7">
      <w:start w:val="1"/>
      <w:numFmt w:val="bullet"/>
      <w:lvlText w:val="o"/>
      <w:lvlJc w:val="left"/>
      <w:rPr>
        <w:rFonts w:ascii="Arial" w:eastAsia="Arial" w:hAnsi="Arial" w:cs="Arial"/>
        <w:color w:val="000000"/>
        <w:position w:val="0"/>
        <w:u w:color="000000"/>
        <w:lang w:val="en-US"/>
      </w:rPr>
    </w:lvl>
    <w:lvl w:ilvl="8">
      <w:start w:val="1"/>
      <w:numFmt w:val="bullet"/>
      <w:lvlText w:val="▪"/>
      <w:lvlJc w:val="left"/>
      <w:rPr>
        <w:rFonts w:ascii="Arial" w:eastAsia="Arial" w:hAnsi="Arial" w:cs="Arial"/>
        <w:color w:val="000000"/>
        <w:position w:val="0"/>
        <w:u w:color="000000"/>
        <w:lang w:val="en-US"/>
      </w:rPr>
    </w:lvl>
  </w:abstractNum>
  <w:abstractNum w:abstractNumId="6" w15:restartNumberingAfterBreak="0">
    <w:nsid w:val="281D0B5E"/>
    <w:multiLevelType w:val="hybridMultilevel"/>
    <w:tmpl w:val="A71C866C"/>
    <w:lvl w:ilvl="0" w:tplc="04070001">
      <w:start w:val="1"/>
      <w:numFmt w:val="bullet"/>
      <w:lvlText w:val=""/>
      <w:lvlJc w:val="left"/>
      <w:pPr>
        <w:tabs>
          <w:tab w:val="num" w:pos="720"/>
        </w:tabs>
        <w:ind w:left="720" w:hanging="360"/>
      </w:pPr>
      <w:rPr>
        <w:rFonts w:ascii="Symbol" w:hAnsi="Symbol" w:hint="default"/>
      </w:rPr>
    </w:lvl>
    <w:lvl w:ilvl="1" w:tplc="04070001">
      <w:start w:val="1"/>
      <w:numFmt w:val="bullet"/>
      <w:lvlText w:val=""/>
      <w:lvlJc w:val="left"/>
      <w:pPr>
        <w:tabs>
          <w:tab w:val="num" w:pos="1440"/>
        </w:tabs>
        <w:ind w:left="1440" w:hanging="360"/>
      </w:pPr>
      <w:rPr>
        <w:rFonts w:ascii="Symbol" w:hAnsi="Symbo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1504E1A"/>
    <w:multiLevelType w:val="multilevel"/>
    <w:tmpl w:val="EEACEAE4"/>
    <w:lvl w:ilvl="0">
      <w:numFmt w:val="bullet"/>
      <w:lvlText w:val="•"/>
      <w:lvlJc w:val="left"/>
      <w:rPr>
        <w:rFonts w:ascii="Arial" w:eastAsia="Arial" w:hAnsi="Arial" w:cs="Arial"/>
        <w:color w:val="000000"/>
        <w:position w:val="0"/>
        <w:u w:color="000000"/>
        <w:lang w:val="en-US"/>
      </w:rPr>
    </w:lvl>
    <w:lvl w:ilvl="1">
      <w:start w:val="1"/>
      <w:numFmt w:val="bullet"/>
      <w:lvlText w:val="o"/>
      <w:lvlJc w:val="left"/>
      <w:rPr>
        <w:rFonts w:ascii="Arial" w:eastAsia="Arial" w:hAnsi="Arial" w:cs="Arial"/>
        <w:color w:val="000000"/>
        <w:position w:val="0"/>
        <w:u w:color="000000"/>
        <w:lang w:val="en-US"/>
      </w:rPr>
    </w:lvl>
    <w:lvl w:ilvl="2">
      <w:start w:val="1"/>
      <w:numFmt w:val="bullet"/>
      <w:lvlText w:val="▪"/>
      <w:lvlJc w:val="left"/>
      <w:rPr>
        <w:rFonts w:ascii="Arial" w:eastAsia="Arial" w:hAnsi="Arial" w:cs="Arial"/>
        <w:color w:val="000000"/>
        <w:position w:val="0"/>
        <w:u w:color="000000"/>
        <w:lang w:val="en-US"/>
      </w:rPr>
    </w:lvl>
    <w:lvl w:ilvl="3">
      <w:start w:val="1"/>
      <w:numFmt w:val="bullet"/>
      <w:lvlText w:val="•"/>
      <w:lvlJc w:val="left"/>
      <w:rPr>
        <w:rFonts w:ascii="Arial" w:eastAsia="Arial" w:hAnsi="Arial" w:cs="Arial"/>
        <w:color w:val="000000"/>
        <w:position w:val="0"/>
        <w:u w:color="000000"/>
        <w:lang w:val="en-US"/>
      </w:rPr>
    </w:lvl>
    <w:lvl w:ilvl="4">
      <w:start w:val="1"/>
      <w:numFmt w:val="bullet"/>
      <w:lvlText w:val="o"/>
      <w:lvlJc w:val="left"/>
      <w:rPr>
        <w:rFonts w:ascii="Arial" w:eastAsia="Arial" w:hAnsi="Arial" w:cs="Arial"/>
        <w:color w:val="000000"/>
        <w:position w:val="0"/>
        <w:u w:color="000000"/>
        <w:lang w:val="en-US"/>
      </w:rPr>
    </w:lvl>
    <w:lvl w:ilvl="5">
      <w:start w:val="1"/>
      <w:numFmt w:val="bullet"/>
      <w:lvlText w:val="▪"/>
      <w:lvlJc w:val="left"/>
      <w:rPr>
        <w:rFonts w:ascii="Arial" w:eastAsia="Arial" w:hAnsi="Arial" w:cs="Arial"/>
        <w:color w:val="000000"/>
        <w:position w:val="0"/>
        <w:u w:color="000000"/>
        <w:lang w:val="en-US"/>
      </w:rPr>
    </w:lvl>
    <w:lvl w:ilvl="6">
      <w:start w:val="1"/>
      <w:numFmt w:val="bullet"/>
      <w:lvlText w:val="•"/>
      <w:lvlJc w:val="left"/>
      <w:rPr>
        <w:rFonts w:ascii="Arial" w:eastAsia="Arial" w:hAnsi="Arial" w:cs="Arial"/>
        <w:color w:val="000000"/>
        <w:position w:val="0"/>
        <w:u w:color="000000"/>
        <w:lang w:val="en-US"/>
      </w:rPr>
    </w:lvl>
    <w:lvl w:ilvl="7">
      <w:start w:val="1"/>
      <w:numFmt w:val="bullet"/>
      <w:lvlText w:val="o"/>
      <w:lvlJc w:val="left"/>
      <w:rPr>
        <w:rFonts w:ascii="Arial" w:eastAsia="Arial" w:hAnsi="Arial" w:cs="Arial"/>
        <w:color w:val="000000"/>
        <w:position w:val="0"/>
        <w:u w:color="000000"/>
        <w:lang w:val="en-US"/>
      </w:rPr>
    </w:lvl>
    <w:lvl w:ilvl="8">
      <w:start w:val="1"/>
      <w:numFmt w:val="bullet"/>
      <w:lvlText w:val="▪"/>
      <w:lvlJc w:val="left"/>
      <w:rPr>
        <w:rFonts w:ascii="Arial" w:eastAsia="Arial" w:hAnsi="Arial" w:cs="Arial"/>
        <w:color w:val="000000"/>
        <w:position w:val="0"/>
        <w:u w:color="000000"/>
        <w:lang w:val="en-US"/>
      </w:rPr>
    </w:lvl>
  </w:abstractNum>
  <w:abstractNum w:abstractNumId="8" w15:restartNumberingAfterBreak="0">
    <w:nsid w:val="4BF531DC"/>
    <w:multiLevelType w:val="multilevel"/>
    <w:tmpl w:val="2692F9E4"/>
    <w:lvl w:ilvl="0">
      <w:numFmt w:val="bullet"/>
      <w:lvlText w:val="•"/>
      <w:lvlJc w:val="left"/>
      <w:rPr>
        <w:rFonts w:ascii="Arial" w:eastAsia="Arial" w:hAnsi="Arial" w:cs="Arial"/>
        <w:color w:val="000000"/>
        <w:position w:val="0"/>
        <w:u w:color="000000"/>
        <w:lang w:val="en-US"/>
      </w:rPr>
    </w:lvl>
    <w:lvl w:ilvl="1">
      <w:start w:val="1"/>
      <w:numFmt w:val="bullet"/>
      <w:lvlText w:val="o"/>
      <w:lvlJc w:val="left"/>
      <w:rPr>
        <w:rFonts w:ascii="Arial" w:eastAsia="Arial" w:hAnsi="Arial" w:cs="Arial"/>
        <w:color w:val="000000"/>
        <w:position w:val="0"/>
        <w:u w:color="000000"/>
        <w:lang w:val="en-US"/>
      </w:rPr>
    </w:lvl>
    <w:lvl w:ilvl="2">
      <w:start w:val="1"/>
      <w:numFmt w:val="bullet"/>
      <w:lvlText w:val="▪"/>
      <w:lvlJc w:val="left"/>
      <w:rPr>
        <w:rFonts w:ascii="Arial" w:eastAsia="Arial" w:hAnsi="Arial" w:cs="Arial"/>
        <w:color w:val="000000"/>
        <w:position w:val="0"/>
        <w:u w:color="000000"/>
        <w:lang w:val="en-US"/>
      </w:rPr>
    </w:lvl>
    <w:lvl w:ilvl="3">
      <w:start w:val="1"/>
      <w:numFmt w:val="bullet"/>
      <w:lvlText w:val="•"/>
      <w:lvlJc w:val="left"/>
      <w:rPr>
        <w:rFonts w:ascii="Arial" w:eastAsia="Arial" w:hAnsi="Arial" w:cs="Arial"/>
        <w:color w:val="000000"/>
        <w:position w:val="0"/>
        <w:u w:color="000000"/>
        <w:lang w:val="en-US"/>
      </w:rPr>
    </w:lvl>
    <w:lvl w:ilvl="4">
      <w:start w:val="1"/>
      <w:numFmt w:val="bullet"/>
      <w:lvlText w:val="o"/>
      <w:lvlJc w:val="left"/>
      <w:rPr>
        <w:rFonts w:ascii="Arial" w:eastAsia="Arial" w:hAnsi="Arial" w:cs="Arial"/>
        <w:color w:val="000000"/>
        <w:position w:val="0"/>
        <w:u w:color="000000"/>
        <w:lang w:val="en-US"/>
      </w:rPr>
    </w:lvl>
    <w:lvl w:ilvl="5">
      <w:start w:val="1"/>
      <w:numFmt w:val="bullet"/>
      <w:lvlText w:val="▪"/>
      <w:lvlJc w:val="left"/>
      <w:rPr>
        <w:rFonts w:ascii="Arial" w:eastAsia="Arial" w:hAnsi="Arial" w:cs="Arial"/>
        <w:color w:val="000000"/>
        <w:position w:val="0"/>
        <w:u w:color="000000"/>
        <w:lang w:val="en-US"/>
      </w:rPr>
    </w:lvl>
    <w:lvl w:ilvl="6">
      <w:start w:val="1"/>
      <w:numFmt w:val="bullet"/>
      <w:lvlText w:val="•"/>
      <w:lvlJc w:val="left"/>
      <w:rPr>
        <w:rFonts w:ascii="Arial" w:eastAsia="Arial" w:hAnsi="Arial" w:cs="Arial"/>
        <w:color w:val="000000"/>
        <w:position w:val="0"/>
        <w:u w:color="000000"/>
        <w:lang w:val="en-US"/>
      </w:rPr>
    </w:lvl>
    <w:lvl w:ilvl="7">
      <w:start w:val="1"/>
      <w:numFmt w:val="bullet"/>
      <w:lvlText w:val="o"/>
      <w:lvlJc w:val="left"/>
      <w:rPr>
        <w:rFonts w:ascii="Arial" w:eastAsia="Arial" w:hAnsi="Arial" w:cs="Arial"/>
        <w:color w:val="000000"/>
        <w:position w:val="0"/>
        <w:u w:color="000000"/>
        <w:lang w:val="en-US"/>
      </w:rPr>
    </w:lvl>
    <w:lvl w:ilvl="8">
      <w:start w:val="1"/>
      <w:numFmt w:val="bullet"/>
      <w:lvlText w:val="▪"/>
      <w:lvlJc w:val="left"/>
      <w:rPr>
        <w:rFonts w:ascii="Arial" w:eastAsia="Arial" w:hAnsi="Arial" w:cs="Arial"/>
        <w:color w:val="000000"/>
        <w:position w:val="0"/>
        <w:u w:color="000000"/>
        <w:lang w:val="en-US"/>
      </w:rPr>
    </w:lvl>
  </w:abstractNum>
  <w:abstractNum w:abstractNumId="9" w15:restartNumberingAfterBreak="0">
    <w:nsid w:val="520549FB"/>
    <w:multiLevelType w:val="hybridMultilevel"/>
    <w:tmpl w:val="708AFF24"/>
    <w:lvl w:ilvl="0" w:tplc="CE5A0D1C">
      <w:start w:val="1"/>
      <w:numFmt w:val="bullet"/>
      <w:lvlText w:val=""/>
      <w:lvlJc w:val="left"/>
      <w:pPr>
        <w:tabs>
          <w:tab w:val="num" w:pos="720"/>
        </w:tabs>
        <w:ind w:left="720" w:hanging="360"/>
      </w:pPr>
      <w:rPr>
        <w:rFonts w:ascii="Symbol" w:hAnsi="Symbol" w:hint="default"/>
        <w:sz w:val="20"/>
        <w:szCs w:val="20"/>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C527F14"/>
    <w:multiLevelType w:val="multilevel"/>
    <w:tmpl w:val="E666721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6530"/>
        </w:tabs>
        <w:ind w:left="6530" w:hanging="576"/>
      </w:pPr>
      <w:rPr>
        <w:rFonts w:hint="default"/>
        <w:b/>
        <w:i w:val="0"/>
      </w:rPr>
    </w:lvl>
    <w:lvl w:ilvl="2">
      <w:start w:val="1"/>
      <w:numFmt w:val="decimal"/>
      <w:lvlText w:val="%1.%2.%3"/>
      <w:lvlJc w:val="left"/>
      <w:pPr>
        <w:tabs>
          <w:tab w:val="num" w:pos="1571"/>
        </w:tabs>
        <w:ind w:left="1571" w:hanging="720"/>
      </w:pPr>
      <w:rPr>
        <w:rFonts w:asciiTheme="minorHAnsi" w:hAnsiTheme="minorHAnsi" w:cstheme="minorHAnsi"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600612C2"/>
    <w:multiLevelType w:val="multilevel"/>
    <w:tmpl w:val="A854424E"/>
    <w:lvl w:ilvl="0">
      <w:numFmt w:val="bullet"/>
      <w:lvlText w:val="•"/>
      <w:lvlJc w:val="left"/>
      <w:rPr>
        <w:rFonts w:ascii="Arial" w:eastAsia="Arial" w:hAnsi="Arial" w:cs="Arial"/>
        <w:color w:val="000000"/>
        <w:position w:val="0"/>
        <w:u w:color="000000"/>
        <w:lang w:val="en-US"/>
      </w:rPr>
    </w:lvl>
    <w:lvl w:ilvl="1">
      <w:start w:val="1"/>
      <w:numFmt w:val="bullet"/>
      <w:lvlText w:val="o"/>
      <w:lvlJc w:val="left"/>
      <w:rPr>
        <w:rFonts w:ascii="Arial" w:eastAsia="Arial" w:hAnsi="Arial" w:cs="Arial"/>
        <w:color w:val="000000"/>
        <w:position w:val="0"/>
        <w:u w:color="000000"/>
        <w:lang w:val="en-US"/>
      </w:rPr>
    </w:lvl>
    <w:lvl w:ilvl="2">
      <w:start w:val="1"/>
      <w:numFmt w:val="bullet"/>
      <w:lvlText w:val="▪"/>
      <w:lvlJc w:val="left"/>
      <w:rPr>
        <w:rFonts w:ascii="Arial" w:eastAsia="Arial" w:hAnsi="Arial" w:cs="Arial"/>
        <w:color w:val="000000"/>
        <w:position w:val="0"/>
        <w:u w:color="000000"/>
        <w:lang w:val="en-US"/>
      </w:rPr>
    </w:lvl>
    <w:lvl w:ilvl="3">
      <w:start w:val="1"/>
      <w:numFmt w:val="bullet"/>
      <w:lvlText w:val="•"/>
      <w:lvlJc w:val="left"/>
      <w:rPr>
        <w:rFonts w:ascii="Arial" w:eastAsia="Arial" w:hAnsi="Arial" w:cs="Arial"/>
        <w:color w:val="000000"/>
        <w:position w:val="0"/>
        <w:u w:color="000000"/>
        <w:lang w:val="en-US"/>
      </w:rPr>
    </w:lvl>
    <w:lvl w:ilvl="4">
      <w:start w:val="1"/>
      <w:numFmt w:val="bullet"/>
      <w:lvlText w:val="o"/>
      <w:lvlJc w:val="left"/>
      <w:rPr>
        <w:rFonts w:ascii="Arial" w:eastAsia="Arial" w:hAnsi="Arial" w:cs="Arial"/>
        <w:color w:val="000000"/>
        <w:position w:val="0"/>
        <w:u w:color="000000"/>
        <w:lang w:val="en-US"/>
      </w:rPr>
    </w:lvl>
    <w:lvl w:ilvl="5">
      <w:start w:val="1"/>
      <w:numFmt w:val="bullet"/>
      <w:lvlText w:val="▪"/>
      <w:lvlJc w:val="left"/>
      <w:rPr>
        <w:rFonts w:ascii="Arial" w:eastAsia="Arial" w:hAnsi="Arial" w:cs="Arial"/>
        <w:color w:val="000000"/>
        <w:position w:val="0"/>
        <w:u w:color="000000"/>
        <w:lang w:val="en-US"/>
      </w:rPr>
    </w:lvl>
    <w:lvl w:ilvl="6">
      <w:start w:val="1"/>
      <w:numFmt w:val="bullet"/>
      <w:lvlText w:val="•"/>
      <w:lvlJc w:val="left"/>
      <w:rPr>
        <w:rFonts w:ascii="Arial" w:eastAsia="Arial" w:hAnsi="Arial" w:cs="Arial"/>
        <w:color w:val="000000"/>
        <w:position w:val="0"/>
        <w:u w:color="000000"/>
        <w:lang w:val="en-US"/>
      </w:rPr>
    </w:lvl>
    <w:lvl w:ilvl="7">
      <w:start w:val="1"/>
      <w:numFmt w:val="bullet"/>
      <w:lvlText w:val="o"/>
      <w:lvlJc w:val="left"/>
      <w:rPr>
        <w:rFonts w:ascii="Arial" w:eastAsia="Arial" w:hAnsi="Arial" w:cs="Arial"/>
        <w:color w:val="000000"/>
        <w:position w:val="0"/>
        <w:u w:color="000000"/>
        <w:lang w:val="en-US"/>
      </w:rPr>
    </w:lvl>
    <w:lvl w:ilvl="8">
      <w:start w:val="1"/>
      <w:numFmt w:val="bullet"/>
      <w:lvlText w:val="▪"/>
      <w:lvlJc w:val="left"/>
      <w:rPr>
        <w:rFonts w:ascii="Arial" w:eastAsia="Arial" w:hAnsi="Arial" w:cs="Arial"/>
        <w:color w:val="000000"/>
        <w:position w:val="0"/>
        <w:u w:color="000000"/>
        <w:lang w:val="en-US"/>
      </w:rPr>
    </w:lvl>
  </w:abstractNum>
  <w:abstractNum w:abstractNumId="12" w15:restartNumberingAfterBreak="0">
    <w:nsid w:val="68597932"/>
    <w:multiLevelType w:val="hybridMultilevel"/>
    <w:tmpl w:val="9454E1A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C9243A8"/>
    <w:multiLevelType w:val="multilevel"/>
    <w:tmpl w:val="68D8C238"/>
    <w:lvl w:ilvl="0">
      <w:numFmt w:val="bullet"/>
      <w:lvlText w:val="•"/>
      <w:lvlJc w:val="left"/>
      <w:rPr>
        <w:rFonts w:ascii="Arial" w:eastAsia="Arial" w:hAnsi="Arial" w:cs="Arial"/>
        <w:color w:val="000000"/>
        <w:position w:val="0"/>
        <w:u w:color="000000"/>
        <w:lang w:val="en-US"/>
      </w:rPr>
    </w:lvl>
    <w:lvl w:ilvl="1">
      <w:start w:val="1"/>
      <w:numFmt w:val="bullet"/>
      <w:lvlText w:val="o"/>
      <w:lvlJc w:val="left"/>
      <w:rPr>
        <w:rFonts w:ascii="Arial" w:eastAsia="Arial" w:hAnsi="Arial" w:cs="Arial"/>
        <w:color w:val="000000"/>
        <w:position w:val="0"/>
        <w:u w:color="000000"/>
        <w:lang w:val="en-US"/>
      </w:rPr>
    </w:lvl>
    <w:lvl w:ilvl="2">
      <w:start w:val="1"/>
      <w:numFmt w:val="bullet"/>
      <w:lvlText w:val="▪"/>
      <w:lvlJc w:val="left"/>
      <w:rPr>
        <w:rFonts w:ascii="Arial" w:eastAsia="Arial" w:hAnsi="Arial" w:cs="Arial"/>
        <w:color w:val="000000"/>
        <w:position w:val="0"/>
        <w:u w:color="000000"/>
        <w:lang w:val="en-US"/>
      </w:rPr>
    </w:lvl>
    <w:lvl w:ilvl="3">
      <w:start w:val="1"/>
      <w:numFmt w:val="bullet"/>
      <w:lvlText w:val="•"/>
      <w:lvlJc w:val="left"/>
      <w:rPr>
        <w:rFonts w:ascii="Arial" w:eastAsia="Arial" w:hAnsi="Arial" w:cs="Arial"/>
        <w:color w:val="000000"/>
        <w:position w:val="0"/>
        <w:u w:color="000000"/>
        <w:lang w:val="en-US"/>
      </w:rPr>
    </w:lvl>
    <w:lvl w:ilvl="4">
      <w:start w:val="1"/>
      <w:numFmt w:val="bullet"/>
      <w:lvlText w:val="o"/>
      <w:lvlJc w:val="left"/>
      <w:rPr>
        <w:rFonts w:ascii="Arial" w:eastAsia="Arial" w:hAnsi="Arial" w:cs="Arial"/>
        <w:color w:val="000000"/>
        <w:position w:val="0"/>
        <w:u w:color="000000"/>
        <w:lang w:val="en-US"/>
      </w:rPr>
    </w:lvl>
    <w:lvl w:ilvl="5">
      <w:start w:val="1"/>
      <w:numFmt w:val="bullet"/>
      <w:lvlText w:val="▪"/>
      <w:lvlJc w:val="left"/>
      <w:rPr>
        <w:rFonts w:ascii="Arial" w:eastAsia="Arial" w:hAnsi="Arial" w:cs="Arial"/>
        <w:color w:val="000000"/>
        <w:position w:val="0"/>
        <w:u w:color="000000"/>
        <w:lang w:val="en-US"/>
      </w:rPr>
    </w:lvl>
    <w:lvl w:ilvl="6">
      <w:start w:val="1"/>
      <w:numFmt w:val="bullet"/>
      <w:lvlText w:val="•"/>
      <w:lvlJc w:val="left"/>
      <w:rPr>
        <w:rFonts w:ascii="Arial" w:eastAsia="Arial" w:hAnsi="Arial" w:cs="Arial"/>
        <w:color w:val="000000"/>
        <w:position w:val="0"/>
        <w:u w:color="000000"/>
        <w:lang w:val="en-US"/>
      </w:rPr>
    </w:lvl>
    <w:lvl w:ilvl="7">
      <w:start w:val="1"/>
      <w:numFmt w:val="bullet"/>
      <w:lvlText w:val="o"/>
      <w:lvlJc w:val="left"/>
      <w:rPr>
        <w:rFonts w:ascii="Arial" w:eastAsia="Arial" w:hAnsi="Arial" w:cs="Arial"/>
        <w:color w:val="000000"/>
        <w:position w:val="0"/>
        <w:u w:color="000000"/>
        <w:lang w:val="en-US"/>
      </w:rPr>
    </w:lvl>
    <w:lvl w:ilvl="8">
      <w:start w:val="1"/>
      <w:numFmt w:val="bullet"/>
      <w:lvlText w:val="▪"/>
      <w:lvlJc w:val="left"/>
      <w:rPr>
        <w:rFonts w:ascii="Arial" w:eastAsia="Arial" w:hAnsi="Arial" w:cs="Arial"/>
        <w:color w:val="000000"/>
        <w:position w:val="0"/>
        <w:u w:color="000000"/>
        <w:lang w:val="en-US"/>
      </w:rPr>
    </w:lvl>
  </w:abstractNum>
  <w:num w:numId="1">
    <w:abstractNumId w:val="0"/>
  </w:num>
  <w:num w:numId="2">
    <w:abstractNumId w:val="9"/>
  </w:num>
  <w:num w:numId="3">
    <w:abstractNumId w:val="5"/>
  </w:num>
  <w:num w:numId="4">
    <w:abstractNumId w:val="13"/>
  </w:num>
  <w:num w:numId="5">
    <w:abstractNumId w:val="8"/>
  </w:num>
  <w:num w:numId="6">
    <w:abstractNumId w:val="4"/>
  </w:num>
  <w:num w:numId="7">
    <w:abstractNumId w:val="3"/>
  </w:num>
  <w:num w:numId="8">
    <w:abstractNumId w:val="7"/>
  </w:num>
  <w:num w:numId="9">
    <w:abstractNumId w:val="11"/>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DE" w:vendorID="64" w:dllVersion="6" w:nlCheck="1" w:checkStyle="0"/>
  <w:activeWritingStyle w:appName="MSWord" w:lang="en-US" w:vendorID="64" w:dllVersion="6" w:nlCheck="1" w:checkStyle="1"/>
  <w:activeWritingStyle w:appName="MSWord" w:lang="en-GB" w:vendorID="64" w:dllVersion="6" w:nlCheck="1" w:checkStyle="1"/>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activeWritingStyle w:appName="MSWord" w:lang="en-US" w:vendorID="64" w:dllVersion="131078" w:nlCheck="1" w:checkStyle="1"/>
  <w:activeWritingStyle w:appName="MSWord" w:lang="en-GB" w:vendorID="64" w:dllVersion="131078" w:nlCheck="1" w:checkStyle="1"/>
  <w:activeWritingStyle w:appName="MSWord" w:lang="de-DE" w:vendorID="64" w:dllVersion="131078" w:nlCheck="1" w:checkStyle="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41A4"/>
    <w:rsid w:val="00023326"/>
    <w:rsid w:val="000379B4"/>
    <w:rsid w:val="000937BA"/>
    <w:rsid w:val="000C3D8D"/>
    <w:rsid w:val="00242815"/>
    <w:rsid w:val="0028074F"/>
    <w:rsid w:val="002C1883"/>
    <w:rsid w:val="00313E68"/>
    <w:rsid w:val="004015BD"/>
    <w:rsid w:val="004A022A"/>
    <w:rsid w:val="004C1AAC"/>
    <w:rsid w:val="005401D2"/>
    <w:rsid w:val="0066748C"/>
    <w:rsid w:val="006D7733"/>
    <w:rsid w:val="007001DA"/>
    <w:rsid w:val="007A1C71"/>
    <w:rsid w:val="007A41A4"/>
    <w:rsid w:val="007E1B73"/>
    <w:rsid w:val="00805B67"/>
    <w:rsid w:val="008502CD"/>
    <w:rsid w:val="008A78A3"/>
    <w:rsid w:val="008E3F5B"/>
    <w:rsid w:val="00975E6A"/>
    <w:rsid w:val="00A26C00"/>
    <w:rsid w:val="00C10924"/>
    <w:rsid w:val="00D722E7"/>
    <w:rsid w:val="00DB5436"/>
    <w:rsid w:val="00E75095"/>
    <w:rsid w:val="00F9198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766AD"/>
  <w15:chartTrackingRefBased/>
  <w15:docId w15:val="{D5640715-C71A-4626-BEC0-0FD9F8F64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next w:val="Standard"/>
    <w:link w:val="berschrift1Zchn"/>
    <w:qFormat/>
    <w:rsid w:val="002C1883"/>
    <w:pPr>
      <w:keepNext/>
      <w:tabs>
        <w:tab w:val="num" w:pos="926"/>
      </w:tabs>
      <w:spacing w:before="480" w:after="60" w:line="240" w:lineRule="auto"/>
      <w:ind w:left="431" w:hanging="431"/>
      <w:outlineLvl w:val="0"/>
    </w:pPr>
    <w:rPr>
      <w:rFonts w:eastAsia="Times New Roman" w:cs="Times New Roman"/>
      <w:b/>
      <w:bCs/>
      <w:kern w:val="32"/>
      <w:sz w:val="28"/>
      <w:szCs w:val="32"/>
      <w:lang w:eastAsia="de-DE"/>
    </w:rPr>
  </w:style>
  <w:style w:type="paragraph" w:styleId="berschrift2">
    <w:name w:val="heading 2"/>
    <w:basedOn w:val="Standard"/>
    <w:next w:val="Standard"/>
    <w:link w:val="berschrift2Zchn"/>
    <w:qFormat/>
    <w:rsid w:val="002C1883"/>
    <w:pPr>
      <w:keepNext/>
      <w:numPr>
        <w:ilvl w:val="1"/>
        <w:numId w:val="1"/>
      </w:numPr>
      <w:spacing w:before="240" w:after="60" w:line="240" w:lineRule="auto"/>
      <w:outlineLvl w:val="1"/>
    </w:pPr>
    <w:rPr>
      <w:rFonts w:eastAsia="Times New Roman" w:cs="Times New Roman"/>
      <w:b/>
      <w:bCs/>
      <w:sz w:val="26"/>
      <w:szCs w:val="28"/>
      <w:lang w:eastAsia="de-DE"/>
    </w:rPr>
  </w:style>
  <w:style w:type="paragraph" w:styleId="berschrift3">
    <w:name w:val="heading 3"/>
    <w:basedOn w:val="Standard"/>
    <w:next w:val="Standard"/>
    <w:link w:val="berschrift3Zchn"/>
    <w:qFormat/>
    <w:rsid w:val="002C1883"/>
    <w:pPr>
      <w:keepNext/>
      <w:numPr>
        <w:ilvl w:val="2"/>
        <w:numId w:val="1"/>
      </w:numPr>
      <w:spacing w:before="240" w:after="60" w:line="240" w:lineRule="auto"/>
      <w:ind w:left="1287"/>
      <w:jc w:val="both"/>
      <w:outlineLvl w:val="2"/>
    </w:pPr>
    <w:rPr>
      <w:rFonts w:eastAsia="Times New Roman" w:cstheme="minorHAnsi"/>
      <w:b/>
      <w:bCs/>
      <w:iCs/>
      <w:sz w:val="24"/>
      <w:szCs w:val="24"/>
      <w:lang w:val="en-GB" w:eastAsia="de-DE"/>
    </w:rPr>
  </w:style>
  <w:style w:type="paragraph" w:styleId="berschrift4">
    <w:name w:val="heading 4"/>
    <w:basedOn w:val="Standard"/>
    <w:next w:val="Standard"/>
    <w:link w:val="berschrift4Zchn"/>
    <w:qFormat/>
    <w:rsid w:val="002C1883"/>
    <w:pPr>
      <w:keepNext/>
      <w:numPr>
        <w:ilvl w:val="3"/>
        <w:numId w:val="1"/>
      </w:numPr>
      <w:spacing w:before="240" w:after="60" w:line="240" w:lineRule="auto"/>
      <w:outlineLvl w:val="3"/>
    </w:pPr>
    <w:rPr>
      <w:rFonts w:ascii="Calibri" w:eastAsia="Times New Roman" w:hAnsi="Calibri" w:cs="Times New Roman"/>
      <w:b/>
      <w:bCs/>
      <w:sz w:val="24"/>
      <w:szCs w:val="28"/>
      <w:lang w:eastAsia="de-DE"/>
    </w:rPr>
  </w:style>
  <w:style w:type="paragraph" w:styleId="berschrift5">
    <w:name w:val="heading 5"/>
    <w:basedOn w:val="Standard"/>
    <w:next w:val="Standard"/>
    <w:link w:val="berschrift5Zchn"/>
    <w:qFormat/>
    <w:rsid w:val="002C1883"/>
    <w:pPr>
      <w:numPr>
        <w:ilvl w:val="4"/>
        <w:numId w:val="1"/>
      </w:numPr>
      <w:spacing w:before="240" w:after="60" w:line="240" w:lineRule="auto"/>
      <w:outlineLvl w:val="4"/>
    </w:pPr>
    <w:rPr>
      <w:rFonts w:ascii="Calibri" w:eastAsia="Times New Roman" w:hAnsi="Calibri" w:cs="Times New Roman"/>
      <w:b/>
      <w:bCs/>
      <w:iCs/>
      <w:sz w:val="24"/>
      <w:szCs w:val="26"/>
      <w:lang w:eastAsia="de-DE"/>
    </w:rPr>
  </w:style>
  <w:style w:type="paragraph" w:styleId="berschrift6">
    <w:name w:val="heading 6"/>
    <w:basedOn w:val="Standard"/>
    <w:next w:val="Standard"/>
    <w:link w:val="berschrift6Zchn"/>
    <w:qFormat/>
    <w:rsid w:val="002C1883"/>
    <w:pPr>
      <w:numPr>
        <w:ilvl w:val="5"/>
        <w:numId w:val="1"/>
      </w:numPr>
      <w:spacing w:before="240" w:after="60" w:line="240" w:lineRule="auto"/>
      <w:outlineLvl w:val="5"/>
    </w:pPr>
    <w:rPr>
      <w:rFonts w:ascii="Calibri" w:eastAsia="Times New Roman" w:hAnsi="Calibri" w:cs="Times New Roman"/>
      <w:b/>
      <w:bCs/>
      <w:lang w:eastAsia="de-DE"/>
    </w:rPr>
  </w:style>
  <w:style w:type="paragraph" w:styleId="berschrift7">
    <w:name w:val="heading 7"/>
    <w:basedOn w:val="Standard"/>
    <w:next w:val="Standard"/>
    <w:link w:val="berschrift7Zchn"/>
    <w:qFormat/>
    <w:rsid w:val="002C1883"/>
    <w:pPr>
      <w:numPr>
        <w:ilvl w:val="6"/>
        <w:numId w:val="1"/>
      </w:numPr>
      <w:spacing w:before="240" w:after="60" w:line="240" w:lineRule="auto"/>
      <w:outlineLvl w:val="6"/>
    </w:pPr>
    <w:rPr>
      <w:rFonts w:ascii="Calibri" w:eastAsia="Times New Roman" w:hAnsi="Calibri" w:cs="Times New Roman"/>
      <w:sz w:val="24"/>
      <w:szCs w:val="24"/>
      <w:lang w:eastAsia="de-DE"/>
    </w:rPr>
  </w:style>
  <w:style w:type="paragraph" w:styleId="berschrift8">
    <w:name w:val="heading 8"/>
    <w:basedOn w:val="Standard"/>
    <w:next w:val="Standard"/>
    <w:link w:val="berschrift8Zchn"/>
    <w:qFormat/>
    <w:rsid w:val="002C1883"/>
    <w:pPr>
      <w:numPr>
        <w:ilvl w:val="7"/>
        <w:numId w:val="1"/>
      </w:numPr>
      <w:spacing w:before="240" w:after="60" w:line="240" w:lineRule="auto"/>
      <w:outlineLvl w:val="7"/>
    </w:pPr>
    <w:rPr>
      <w:rFonts w:ascii="Calibri" w:eastAsia="Times New Roman" w:hAnsi="Calibri" w:cs="Times New Roman"/>
      <w:i/>
      <w:iCs/>
      <w:sz w:val="24"/>
      <w:szCs w:val="24"/>
      <w:lang w:eastAsia="de-DE"/>
    </w:rPr>
  </w:style>
  <w:style w:type="paragraph" w:styleId="berschrift9">
    <w:name w:val="heading 9"/>
    <w:basedOn w:val="Standard"/>
    <w:next w:val="Standard"/>
    <w:link w:val="berschrift9Zchn"/>
    <w:qFormat/>
    <w:rsid w:val="002C1883"/>
    <w:pPr>
      <w:numPr>
        <w:ilvl w:val="8"/>
        <w:numId w:val="1"/>
      </w:numPr>
      <w:spacing w:before="240" w:after="60" w:line="240" w:lineRule="auto"/>
      <w:outlineLvl w:val="8"/>
    </w:pPr>
    <w:rPr>
      <w:rFonts w:ascii="Arial" w:eastAsia="Times New Roman" w:hAnsi="Arial" w:cs="Arial"/>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7A1C71"/>
    <w:pPr>
      <w:autoSpaceDE w:val="0"/>
      <w:autoSpaceDN w:val="0"/>
      <w:adjustRightInd w:val="0"/>
      <w:spacing w:after="0" w:line="240" w:lineRule="auto"/>
    </w:pPr>
    <w:rPr>
      <w:rFonts w:ascii="Verdana" w:eastAsia="Times New Roman" w:hAnsi="Verdana" w:cs="Verdana"/>
      <w:color w:val="000000"/>
      <w:sz w:val="24"/>
      <w:szCs w:val="24"/>
      <w:lang w:eastAsia="de-DE"/>
    </w:rPr>
  </w:style>
  <w:style w:type="character" w:customStyle="1" w:styleId="berschrift1Zchn">
    <w:name w:val="Überschrift 1 Zchn"/>
    <w:basedOn w:val="Absatz-Standardschriftart"/>
    <w:link w:val="berschrift1"/>
    <w:rsid w:val="002C1883"/>
    <w:rPr>
      <w:rFonts w:eastAsia="Times New Roman" w:cs="Times New Roman"/>
      <w:b/>
      <w:bCs/>
      <w:kern w:val="32"/>
      <w:sz w:val="28"/>
      <w:szCs w:val="32"/>
      <w:lang w:eastAsia="de-DE"/>
    </w:rPr>
  </w:style>
  <w:style w:type="character" w:customStyle="1" w:styleId="berschrift2Zchn">
    <w:name w:val="Überschrift 2 Zchn"/>
    <w:basedOn w:val="Absatz-Standardschriftart"/>
    <w:link w:val="berschrift2"/>
    <w:rsid w:val="002C1883"/>
    <w:rPr>
      <w:rFonts w:eastAsia="Times New Roman" w:cs="Times New Roman"/>
      <w:b/>
      <w:bCs/>
      <w:sz w:val="26"/>
      <w:szCs w:val="28"/>
      <w:lang w:eastAsia="de-DE"/>
    </w:rPr>
  </w:style>
  <w:style w:type="character" w:customStyle="1" w:styleId="berschrift3Zchn">
    <w:name w:val="Überschrift 3 Zchn"/>
    <w:basedOn w:val="Absatz-Standardschriftart"/>
    <w:link w:val="berschrift3"/>
    <w:rsid w:val="002C1883"/>
    <w:rPr>
      <w:rFonts w:eastAsia="Times New Roman" w:cstheme="minorHAnsi"/>
      <w:b/>
      <w:bCs/>
      <w:iCs/>
      <w:sz w:val="24"/>
      <w:szCs w:val="24"/>
      <w:lang w:val="en-GB" w:eastAsia="de-DE"/>
    </w:rPr>
  </w:style>
  <w:style w:type="character" w:customStyle="1" w:styleId="berschrift4Zchn">
    <w:name w:val="Überschrift 4 Zchn"/>
    <w:basedOn w:val="Absatz-Standardschriftart"/>
    <w:link w:val="berschrift4"/>
    <w:rsid w:val="002C1883"/>
    <w:rPr>
      <w:rFonts w:ascii="Calibri" w:eastAsia="Times New Roman" w:hAnsi="Calibri" w:cs="Times New Roman"/>
      <w:b/>
      <w:bCs/>
      <w:sz w:val="24"/>
      <w:szCs w:val="28"/>
      <w:lang w:eastAsia="de-DE"/>
    </w:rPr>
  </w:style>
  <w:style w:type="character" w:customStyle="1" w:styleId="berschrift5Zchn">
    <w:name w:val="Überschrift 5 Zchn"/>
    <w:basedOn w:val="Absatz-Standardschriftart"/>
    <w:link w:val="berschrift5"/>
    <w:rsid w:val="002C1883"/>
    <w:rPr>
      <w:rFonts w:ascii="Calibri" w:eastAsia="Times New Roman" w:hAnsi="Calibri" w:cs="Times New Roman"/>
      <w:b/>
      <w:bCs/>
      <w:iCs/>
      <w:sz w:val="24"/>
      <w:szCs w:val="26"/>
      <w:lang w:eastAsia="de-DE"/>
    </w:rPr>
  </w:style>
  <w:style w:type="character" w:customStyle="1" w:styleId="berschrift6Zchn">
    <w:name w:val="Überschrift 6 Zchn"/>
    <w:basedOn w:val="Absatz-Standardschriftart"/>
    <w:link w:val="berschrift6"/>
    <w:rsid w:val="002C1883"/>
    <w:rPr>
      <w:rFonts w:ascii="Calibri" w:eastAsia="Times New Roman" w:hAnsi="Calibri" w:cs="Times New Roman"/>
      <w:b/>
      <w:bCs/>
      <w:lang w:eastAsia="de-DE"/>
    </w:rPr>
  </w:style>
  <w:style w:type="character" w:customStyle="1" w:styleId="berschrift7Zchn">
    <w:name w:val="Überschrift 7 Zchn"/>
    <w:basedOn w:val="Absatz-Standardschriftart"/>
    <w:link w:val="berschrift7"/>
    <w:rsid w:val="002C1883"/>
    <w:rPr>
      <w:rFonts w:ascii="Calibri" w:eastAsia="Times New Roman" w:hAnsi="Calibri" w:cs="Times New Roman"/>
      <w:sz w:val="24"/>
      <w:szCs w:val="24"/>
      <w:lang w:eastAsia="de-DE"/>
    </w:rPr>
  </w:style>
  <w:style w:type="character" w:customStyle="1" w:styleId="berschrift8Zchn">
    <w:name w:val="Überschrift 8 Zchn"/>
    <w:basedOn w:val="Absatz-Standardschriftart"/>
    <w:link w:val="berschrift8"/>
    <w:rsid w:val="002C1883"/>
    <w:rPr>
      <w:rFonts w:ascii="Calibri" w:eastAsia="Times New Roman" w:hAnsi="Calibri" w:cs="Times New Roman"/>
      <w:i/>
      <w:iCs/>
      <w:sz w:val="24"/>
      <w:szCs w:val="24"/>
      <w:lang w:eastAsia="de-DE"/>
    </w:rPr>
  </w:style>
  <w:style w:type="character" w:customStyle="1" w:styleId="berschrift9Zchn">
    <w:name w:val="Überschrift 9 Zchn"/>
    <w:basedOn w:val="Absatz-Standardschriftart"/>
    <w:link w:val="berschrift9"/>
    <w:rsid w:val="002C1883"/>
    <w:rPr>
      <w:rFonts w:ascii="Arial" w:eastAsia="Times New Roman" w:hAnsi="Arial" w:cs="Arial"/>
      <w:lang w:eastAsia="de-DE"/>
    </w:rPr>
  </w:style>
  <w:style w:type="paragraph" w:styleId="Textkrper-Einzug3">
    <w:name w:val="Body Text Indent 3"/>
    <w:basedOn w:val="Standard"/>
    <w:link w:val="Textkrper-Einzug3Zchn"/>
    <w:rsid w:val="002C1883"/>
    <w:pPr>
      <w:spacing w:after="0" w:line="240" w:lineRule="auto"/>
      <w:ind w:left="1440"/>
    </w:pPr>
    <w:rPr>
      <w:rFonts w:ascii="Calibri" w:eastAsia="Times New Roman" w:hAnsi="Calibri" w:cs="Times New Roman"/>
      <w:sz w:val="24"/>
      <w:szCs w:val="20"/>
      <w:lang w:eastAsia="de-DE"/>
    </w:rPr>
  </w:style>
  <w:style w:type="character" w:customStyle="1" w:styleId="Textkrper-Einzug3Zchn">
    <w:name w:val="Textkörper-Einzug 3 Zchn"/>
    <w:basedOn w:val="Absatz-Standardschriftart"/>
    <w:link w:val="Textkrper-Einzug3"/>
    <w:rsid w:val="002C1883"/>
    <w:rPr>
      <w:rFonts w:ascii="Calibri" w:eastAsia="Times New Roman" w:hAnsi="Calibri" w:cs="Times New Roman"/>
      <w:sz w:val="24"/>
      <w:szCs w:val="20"/>
      <w:lang w:eastAsia="de-DE"/>
    </w:rPr>
  </w:style>
  <w:style w:type="paragraph" w:styleId="Kommentartext">
    <w:name w:val="annotation text"/>
    <w:basedOn w:val="Standard"/>
    <w:link w:val="KommentartextZchn"/>
    <w:uiPriority w:val="99"/>
    <w:semiHidden/>
    <w:rsid w:val="002C1883"/>
    <w:pPr>
      <w:spacing w:after="0" w:line="240" w:lineRule="auto"/>
      <w:jc w:val="both"/>
    </w:pPr>
    <w:rPr>
      <w:rFonts w:ascii="Calibri" w:eastAsia="Times New Roman" w:hAnsi="Calibri" w:cs="Times New Roman"/>
      <w:sz w:val="24"/>
      <w:szCs w:val="20"/>
      <w:lang w:eastAsia="de-DE"/>
    </w:rPr>
  </w:style>
  <w:style w:type="character" w:customStyle="1" w:styleId="KommentartextZchn">
    <w:name w:val="Kommentartext Zchn"/>
    <w:basedOn w:val="Absatz-Standardschriftart"/>
    <w:link w:val="Kommentartext"/>
    <w:uiPriority w:val="99"/>
    <w:semiHidden/>
    <w:rsid w:val="002C1883"/>
    <w:rPr>
      <w:rFonts w:ascii="Calibri" w:eastAsia="Times New Roman" w:hAnsi="Calibri" w:cs="Times New Roman"/>
      <w:sz w:val="24"/>
      <w:szCs w:val="20"/>
      <w:lang w:eastAsia="de-DE"/>
    </w:rPr>
  </w:style>
  <w:style w:type="paragraph" w:customStyle="1" w:styleId="Textbaustein">
    <w:name w:val="Textbaustein"/>
    <w:basedOn w:val="Standard"/>
    <w:rsid w:val="002C1883"/>
    <w:pPr>
      <w:spacing w:after="0" w:line="240" w:lineRule="auto"/>
    </w:pPr>
    <w:rPr>
      <w:rFonts w:ascii="Calibri" w:eastAsia="Times New Roman" w:hAnsi="Calibri" w:cs="Times New Roman"/>
      <w:i/>
      <w:color w:val="0000FF"/>
      <w:sz w:val="24"/>
      <w:szCs w:val="20"/>
      <w:lang w:eastAsia="de-DE"/>
    </w:rPr>
  </w:style>
  <w:style w:type="character" w:customStyle="1" w:styleId="Standard1">
    <w:name w:val="Standard1"/>
    <w:rsid w:val="002C1883"/>
  </w:style>
  <w:style w:type="paragraph" w:customStyle="1" w:styleId="Textkrper31">
    <w:name w:val="Textkörper 31"/>
    <w:basedOn w:val="Standard"/>
    <w:rsid w:val="002C1883"/>
    <w:pPr>
      <w:spacing w:after="0" w:line="360" w:lineRule="auto"/>
      <w:jc w:val="both"/>
    </w:pPr>
    <w:rPr>
      <w:rFonts w:ascii="Calibri" w:eastAsia="Times New Roman" w:hAnsi="Calibri" w:cs="Times New Roman"/>
      <w:sz w:val="24"/>
      <w:szCs w:val="20"/>
      <w:lang w:eastAsia="de-DE"/>
    </w:rPr>
  </w:style>
  <w:style w:type="paragraph" w:styleId="Aufzhlungszeichen3">
    <w:name w:val="List Bullet 3"/>
    <w:basedOn w:val="Standard"/>
    <w:autoRedefine/>
    <w:rsid w:val="002C1883"/>
    <w:pPr>
      <w:tabs>
        <w:tab w:val="num" w:pos="926"/>
      </w:tabs>
      <w:spacing w:after="0" w:line="240" w:lineRule="auto"/>
      <w:ind w:left="926" w:hanging="360"/>
    </w:pPr>
    <w:rPr>
      <w:rFonts w:ascii="Calibri" w:eastAsia="Times New Roman" w:hAnsi="Calibri" w:cs="Times New Roman"/>
      <w:szCs w:val="20"/>
      <w:lang w:val="en-GB"/>
    </w:rPr>
  </w:style>
  <w:style w:type="paragraph" w:customStyle="1" w:styleId="Body">
    <w:name w:val="Body"/>
    <w:rsid w:val="002C1883"/>
    <w:pPr>
      <w:pBdr>
        <w:top w:val="nil"/>
        <w:left w:val="nil"/>
        <w:bottom w:val="nil"/>
        <w:right w:val="nil"/>
        <w:between w:val="nil"/>
        <w:bar w:val="nil"/>
      </w:pBdr>
      <w:spacing w:after="0" w:line="240" w:lineRule="auto"/>
    </w:pPr>
    <w:rPr>
      <w:rFonts w:ascii="Times New Roman" w:eastAsia="Arial Unicode MS" w:hAnsi="Arial Unicode MS" w:cs="Arial Unicode MS"/>
      <w:color w:val="000000"/>
      <w:sz w:val="24"/>
      <w:szCs w:val="24"/>
      <w:u w:color="000000"/>
      <w:bdr w:val="nil"/>
      <w:lang w:val="en-US"/>
    </w:rPr>
  </w:style>
  <w:style w:type="paragraph" w:customStyle="1" w:styleId="Beispieltext">
    <w:name w:val="Beispieltext"/>
    <w:next w:val="Body"/>
    <w:rsid w:val="006D7733"/>
    <w:pPr>
      <w:pBdr>
        <w:top w:val="nil"/>
        <w:left w:val="nil"/>
        <w:bottom w:val="nil"/>
        <w:right w:val="nil"/>
        <w:between w:val="nil"/>
        <w:bar w:val="nil"/>
      </w:pBdr>
      <w:spacing w:after="120" w:line="360" w:lineRule="auto"/>
    </w:pPr>
    <w:rPr>
      <w:rFonts w:ascii="Arial" w:eastAsia="Arial Unicode MS" w:hAnsi="Arial Unicode MS" w:cs="Arial Unicode MS"/>
      <w:i/>
      <w:iCs/>
      <w:color w:val="00B0F0"/>
      <w:u w:color="00B0F0"/>
      <w:bdr w:val="nil"/>
    </w:rPr>
  </w:style>
  <w:style w:type="numbering" w:customStyle="1" w:styleId="List27">
    <w:name w:val="List 27"/>
    <w:basedOn w:val="KeineListe"/>
    <w:rsid w:val="006D7733"/>
    <w:pPr>
      <w:numPr>
        <w:numId w:val="10"/>
      </w:numPr>
    </w:pPr>
  </w:style>
  <w:style w:type="character" w:styleId="Kommentarzeichen">
    <w:name w:val="annotation reference"/>
    <w:basedOn w:val="Absatz-Standardschriftart"/>
    <w:uiPriority w:val="99"/>
    <w:semiHidden/>
    <w:unhideWhenUsed/>
    <w:rsid w:val="00DB5436"/>
    <w:rPr>
      <w:sz w:val="16"/>
      <w:szCs w:val="16"/>
    </w:rPr>
  </w:style>
  <w:style w:type="paragraph" w:styleId="Kommentarthema">
    <w:name w:val="annotation subject"/>
    <w:basedOn w:val="Kommentartext"/>
    <w:next w:val="Kommentartext"/>
    <w:link w:val="KommentarthemaZchn"/>
    <w:uiPriority w:val="99"/>
    <w:semiHidden/>
    <w:unhideWhenUsed/>
    <w:rsid w:val="00DB5436"/>
    <w:pPr>
      <w:spacing w:after="160"/>
      <w:jc w:val="left"/>
    </w:pPr>
    <w:rPr>
      <w:rFonts w:asciiTheme="minorHAnsi" w:eastAsiaTheme="minorHAnsi" w:hAnsiTheme="minorHAnsi" w:cstheme="minorBidi"/>
      <w:b/>
      <w:bCs/>
      <w:sz w:val="20"/>
      <w:lang w:eastAsia="en-US"/>
    </w:rPr>
  </w:style>
  <w:style w:type="character" w:customStyle="1" w:styleId="KommentarthemaZchn">
    <w:name w:val="Kommentarthema Zchn"/>
    <w:basedOn w:val="KommentartextZchn"/>
    <w:link w:val="Kommentarthema"/>
    <w:uiPriority w:val="99"/>
    <w:semiHidden/>
    <w:rsid w:val="00DB5436"/>
    <w:rPr>
      <w:rFonts w:ascii="Calibri" w:eastAsia="Times New Roman" w:hAnsi="Calibri" w:cs="Times New Roman"/>
      <w:b/>
      <w:bCs/>
      <w:sz w:val="20"/>
      <w:szCs w:val="20"/>
      <w:lang w:eastAsia="de-DE"/>
    </w:rPr>
  </w:style>
  <w:style w:type="paragraph" w:styleId="Sprechblasentext">
    <w:name w:val="Balloon Text"/>
    <w:basedOn w:val="Standard"/>
    <w:link w:val="SprechblasentextZchn"/>
    <w:uiPriority w:val="99"/>
    <w:semiHidden/>
    <w:unhideWhenUsed/>
    <w:rsid w:val="00DB5436"/>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DB5436"/>
    <w:rPr>
      <w:rFonts w:ascii="Segoe UI" w:hAnsi="Segoe UI" w:cs="Segoe UI"/>
      <w:sz w:val="18"/>
      <w:szCs w:val="18"/>
    </w:rPr>
  </w:style>
  <w:style w:type="paragraph" w:customStyle="1" w:styleId="Bodytext">
    <w:name w:val="Bodytext"/>
    <w:basedOn w:val="Standard"/>
    <w:rsid w:val="008502CD"/>
    <w:pPr>
      <w:spacing w:after="0" w:line="240" w:lineRule="auto"/>
      <w:ind w:left="851"/>
    </w:pPr>
    <w:rPr>
      <w:rFonts w:ascii="Calibri" w:eastAsia="Times New Roman" w:hAnsi="Calibri" w:cs="Times New Roman"/>
      <w:sz w:val="24"/>
      <w:szCs w:val="20"/>
      <w:lang w:val="en-GB" w:eastAsia="de-DE"/>
    </w:rPr>
  </w:style>
  <w:style w:type="paragraph" w:styleId="Kopfzeile">
    <w:name w:val="header"/>
    <w:basedOn w:val="Standard"/>
    <w:link w:val="KopfzeileZchn"/>
    <w:uiPriority w:val="99"/>
    <w:unhideWhenUsed/>
    <w:rsid w:val="00313E6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13E68"/>
  </w:style>
  <w:style w:type="paragraph" w:styleId="Fuzeile">
    <w:name w:val="footer"/>
    <w:basedOn w:val="Standard"/>
    <w:link w:val="FuzeileZchn"/>
    <w:uiPriority w:val="99"/>
    <w:unhideWhenUsed/>
    <w:rsid w:val="00313E6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13E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97A81-217F-455C-8C27-4298103BCF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3276</Words>
  <Characters>20641</Characters>
  <Application>Microsoft Office Word</Application>
  <DocSecurity>0</DocSecurity>
  <Lines>172</Lines>
  <Paragraphs>47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Röpke, Stefan</dc:creator>
  <cp:keywords/>
  <dc:description/>
  <cp:lastModifiedBy>Röpke, Stefan</cp:lastModifiedBy>
  <cp:revision>2</cp:revision>
  <dcterms:created xsi:type="dcterms:W3CDTF">2023-02-19T12:34:00Z</dcterms:created>
  <dcterms:modified xsi:type="dcterms:W3CDTF">2023-02-19T12:34:00Z</dcterms:modified>
</cp:coreProperties>
</file>