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Fonts w:ascii="Arial" w:cs="Arial" w:hAnsi="Arial" w:eastAsia="Arial"/>
          <w:color w:val="000000"/>
          <w:u w:color="000000"/>
          <w:shd w:val="clear" w:color="auto" w:fill="fefc78"/>
        </w:rPr>
      </w:pPr>
      <w:r>
        <w:rPr>
          <w:rFonts w:ascii="Arial" w:hAnsi="Arial"/>
          <w:shd w:val="clear" w:color="auto" w:fill="fefc78"/>
          <w:rtl w:val="0"/>
          <w:lang w:val="pt-PT"/>
        </w:rPr>
        <w:t>S</w:t>
      </w:r>
      <w:bookmarkStart w:name="_headinghgjdgxs" w:id="0"/>
      <w:r>
        <w:rPr>
          <w:rFonts w:ascii="Arial" w:hAnsi="Arial"/>
          <w:shd w:val="clear" w:color="auto" w:fill="fefc78"/>
          <w:rtl w:val="0"/>
          <w:lang w:val="en-US"/>
        </w:rPr>
        <w:t>u</w:t>
      </w:r>
      <w:r>
        <w:rPr>
          <w:rFonts w:ascii="Arial" w:hAnsi="Arial"/>
          <w:shd w:val="clear" w:color="auto" w:fill="fefc78"/>
          <w:rtl w:val="0"/>
          <w:lang w:val="en-US"/>
        </w:rPr>
        <w:t>pplementary</w:t>
      </w:r>
      <w:bookmarkEnd w:id="0"/>
      <w:r>
        <w:rPr>
          <w:rFonts w:ascii="Arial" w:hAnsi="Arial"/>
          <w:shd w:val="clear" w:color="auto" w:fill="fefc78"/>
          <w:rtl w:val="0"/>
          <w:lang w:val="en-US"/>
        </w:rPr>
        <w:t xml:space="preserve"> </w:t>
      </w:r>
      <w:r>
        <w:rPr>
          <w:rFonts w:ascii="Arial" w:hAnsi="Arial"/>
          <w:shd w:val="clear" w:color="auto" w:fill="fefc78"/>
          <w:rtl w:val="0"/>
          <w:lang w:val="pt-PT"/>
        </w:rPr>
        <w:t>t</w:t>
      </w:r>
      <w:bookmarkStart w:name="_headinghgjdgxs" w:id="1"/>
      <w:r>
        <w:rPr>
          <w:rFonts w:ascii="Arial" w:hAnsi="Arial"/>
          <w:color w:val="000000"/>
          <w:u w:color="000000"/>
          <w:shd w:val="clear" w:color="auto" w:fill="fefc78"/>
          <w:rtl w:val="0"/>
          <w:lang w:val="en-US"/>
        </w:rPr>
        <w:t xml:space="preserve">able 1. Raw data used for calculate the effect sizes of behavioral parameters from studies detailed in Table 1. </w:t>
      </w:r>
    </w:p>
    <w:tbl>
      <w:tblPr>
        <w:tblW w:w="145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1"/>
        <w:gridCol w:w="1350"/>
        <w:gridCol w:w="1170"/>
        <w:gridCol w:w="1140"/>
        <w:gridCol w:w="990"/>
        <w:gridCol w:w="1140"/>
        <w:gridCol w:w="1200"/>
        <w:gridCol w:w="1125"/>
        <w:gridCol w:w="2445"/>
        <w:gridCol w:w="1875"/>
      </w:tblGrid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2131"/>
            <w:vMerge w:val="restart"/>
            <w:tcBorders>
              <w:top w:val="single" w:color="eaeaea" w:sz="6" w:space="0" w:shadow="0" w:frame="0"/>
              <w:left w:val="single" w:color="eaeaea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>Control x drug</w:t>
            </w:r>
          </w:p>
        </w:tc>
        <w:tc>
          <w:tcPr>
            <w:tcW w:type="dxa" w:w="1350"/>
            <w:vMerge w:val="restart"/>
            <w:tcBorders>
              <w:top w:val="single" w:color="eaeaea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>Effect observed</w:t>
            </w:r>
          </w:p>
        </w:tc>
        <w:tc>
          <w:tcPr>
            <w:tcW w:type="dxa" w:w="3300"/>
            <w:gridSpan w:val="3"/>
            <w:tcBorders>
              <w:top w:val="single" w:color="eaeaea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 xml:space="preserve">Control </w:t>
            </w:r>
          </w:p>
        </w:tc>
        <w:tc>
          <w:tcPr>
            <w:tcW w:type="dxa" w:w="3465"/>
            <w:gridSpan w:val="3"/>
            <w:tcBorders>
              <w:top w:val="single" w:color="eaeaea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>Drug</w:t>
            </w:r>
          </w:p>
        </w:tc>
        <w:tc>
          <w:tcPr>
            <w:tcW w:type="dxa" w:w="2445"/>
            <w:vMerge w:val="restart"/>
            <w:tcBorders>
              <w:top w:val="single" w:color="eaeaea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>Cohen</w:t>
            </w:r>
            <w:r>
              <w:rPr>
                <w:rFonts w:ascii="Arial" w:hAnsi="Arial" w:hint="default"/>
                <w:b w:val="1"/>
                <w:bCs w:val="1"/>
                <w:shd w:val="clear" w:color="auto" w:fill="feffff"/>
                <w:rtl w:val="0"/>
                <w:lang w:val="en-US"/>
              </w:rPr>
              <w:t>’</w:t>
            </w: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 xml:space="preserve">s 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shd w:val="clear" w:color="auto" w:fill="feffff"/>
                <w:rtl w:val="0"/>
                <w:lang w:val="en-US"/>
              </w:rPr>
              <w:t>d</w:t>
            </w: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 xml:space="preserve"> effect size [</w:t>
            </w:r>
            <w:r>
              <w:rPr>
                <w:rFonts w:ascii="Arial" w:hAnsi="Arial" w:hint="default"/>
                <w:b w:val="1"/>
                <w:bCs w:val="1"/>
                <w:shd w:val="clear" w:color="auto" w:fill="feffff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>95% C.I.]</w:t>
            </w:r>
          </w:p>
        </w:tc>
        <w:tc>
          <w:tcPr>
            <w:tcW w:type="dxa" w:w="1875"/>
            <w:vMerge w:val="restart"/>
            <w:tcBorders>
              <w:top w:val="single" w:color="eaeaea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eaeaea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>Reference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2131"/>
            <w:vMerge w:val="continue"/>
            <w:tcBorders>
              <w:top w:val="single" w:color="eaeaea" w:sz="6" w:space="0" w:shadow="0" w:frame="0"/>
              <w:left w:val="single" w:color="eaeaea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</w:tcPr>
          <w:p/>
        </w:tc>
        <w:tc>
          <w:tcPr>
            <w:tcW w:type="dxa" w:w="1350"/>
            <w:vMerge w:val="continue"/>
            <w:tcBorders>
              <w:top w:val="single" w:color="eaeaea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</w:tcPr>
          <w:p/>
        </w:tc>
        <w:tc>
          <w:tcPr>
            <w:tcW w:type="dxa" w:w="117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>Mean</w:t>
            </w:r>
          </w:p>
        </w:tc>
        <w:tc>
          <w:tcPr>
            <w:tcW w:type="dxa" w:w="114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>SEM</w:t>
            </w:r>
          </w:p>
        </w:tc>
        <w:tc>
          <w:tcPr>
            <w:tcW w:type="dxa" w:w="99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b w:val="1"/>
                <w:bCs w:val="1"/>
                <w:i w:val="1"/>
                <w:iCs w:val="1"/>
                <w:shd w:val="clear" w:color="auto" w:fill="feffff"/>
                <w:rtl w:val="0"/>
                <w:lang w:val="en-US"/>
              </w:rPr>
              <w:t>n</w:t>
            </w:r>
          </w:p>
        </w:tc>
        <w:tc>
          <w:tcPr>
            <w:tcW w:type="dxa" w:w="114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>Mean</w:t>
            </w:r>
          </w:p>
        </w:tc>
        <w:tc>
          <w:tcPr>
            <w:tcW w:type="dxa" w:w="120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>SEM</w:t>
            </w:r>
          </w:p>
        </w:tc>
        <w:tc>
          <w:tcPr>
            <w:tcW w:type="dxa" w:w="1125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b w:val="1"/>
                <w:bCs w:val="1"/>
                <w:i w:val="1"/>
                <w:iCs w:val="1"/>
                <w:shd w:val="clear" w:color="auto" w:fill="feffff"/>
                <w:rtl w:val="0"/>
                <w:lang w:val="en-US"/>
              </w:rPr>
              <w:t>n</w:t>
            </w:r>
          </w:p>
        </w:tc>
        <w:tc>
          <w:tcPr>
            <w:tcW w:type="dxa" w:w="2445"/>
            <w:vMerge w:val="continue"/>
            <w:tcBorders>
              <w:top w:val="single" w:color="eaeaea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</w:tcPr>
          <w:p/>
        </w:tc>
        <w:tc>
          <w:tcPr>
            <w:tcW w:type="dxa" w:w="1875"/>
            <w:vMerge w:val="continue"/>
            <w:tcBorders>
              <w:top w:val="single" w:color="eaeaea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eaeaea" w:sz="6" w:space="0" w:shadow="0" w:frame="0"/>
            </w:tcBorders>
            <w:shd w:val="clear" w:color="auto" w:fill="ffffff"/>
          </w:tcPr>
          <w:p/>
        </w:tc>
      </w:tr>
      <w:tr>
        <w:tblPrEx>
          <w:shd w:val="clear" w:color="auto" w:fill="ced7e7"/>
        </w:tblPrEx>
        <w:trPr>
          <w:trHeight w:val="1172" w:hRule="atLeast"/>
        </w:trPr>
        <w:tc>
          <w:tcPr>
            <w:tcW w:type="dxa" w:w="2131"/>
            <w:tcBorders>
              <w:top w:val="single" w:color="d9d9d9" w:sz="6" w:space="0" w:shadow="0" w:frame="0"/>
              <w:left w:val="single" w:color="eaeaea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Dronabinol (THC)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7.5mg x Placebo</w:t>
            </w:r>
          </w:p>
        </w:tc>
        <w:tc>
          <w:tcPr>
            <w:tcW w:type="dxa" w:w="135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↓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SCR</w:t>
            </w:r>
          </w:p>
        </w:tc>
        <w:tc>
          <w:tcPr>
            <w:tcW w:type="dxa" w:w="117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0.136</w:t>
            </w:r>
          </w:p>
        </w:tc>
        <w:tc>
          <w:tcPr>
            <w:tcW w:type="dxa" w:w="114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0.102</w:t>
            </w:r>
          </w:p>
        </w:tc>
        <w:tc>
          <w:tcPr>
            <w:tcW w:type="dxa" w:w="99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14</w:t>
            </w:r>
          </w:p>
        </w:tc>
        <w:tc>
          <w:tcPr>
            <w:tcW w:type="dxa" w:w="114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-0.14</w:t>
            </w:r>
          </w:p>
        </w:tc>
        <w:tc>
          <w:tcPr>
            <w:tcW w:type="dxa" w:w="120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0.082</w:t>
            </w:r>
          </w:p>
        </w:tc>
        <w:tc>
          <w:tcPr>
            <w:tcW w:type="dxa" w:w="1125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15</w:t>
            </w:r>
          </w:p>
        </w:tc>
        <w:tc>
          <w:tcPr>
            <w:tcW w:type="dxa" w:w="2445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0.81 [0.05-1.57]</w:t>
            </w:r>
          </w:p>
        </w:tc>
        <w:tc>
          <w:tcPr>
            <w:tcW w:type="dxa" w:w="1875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eaeaea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 xml:space="preserve">(72) Figure 3. SCR during extinction. </w:t>
            </w:r>
          </w:p>
        </w:tc>
      </w:tr>
      <w:tr>
        <w:tblPrEx>
          <w:shd w:val="clear" w:color="auto" w:fill="ced7e7"/>
        </w:tblPrEx>
        <w:trPr>
          <w:trHeight w:val="1452" w:hRule="atLeast"/>
        </w:trPr>
        <w:tc>
          <w:tcPr>
            <w:tcW w:type="dxa" w:w="2131"/>
            <w:tcBorders>
              <w:top w:val="single" w:color="d9d9d9" w:sz="6" w:space="0" w:shadow="0" w:frame="0"/>
              <w:left w:val="single" w:color="eaeaea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Dronabinol (THC)</w:t>
            </w:r>
          </w:p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7.5 mg x Placebo</w:t>
            </w:r>
          </w:p>
        </w:tc>
        <w:tc>
          <w:tcPr>
            <w:tcW w:type="dxa" w:w="135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↓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SCR in first extinction trials</w:t>
            </w:r>
          </w:p>
        </w:tc>
        <w:tc>
          <w:tcPr>
            <w:tcW w:type="dxa" w:w="117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0.21</w:t>
            </w:r>
          </w:p>
        </w:tc>
        <w:tc>
          <w:tcPr>
            <w:tcW w:type="dxa" w:w="114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0.06</w:t>
            </w:r>
          </w:p>
        </w:tc>
        <w:tc>
          <w:tcPr>
            <w:tcW w:type="dxa" w:w="99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20</w:t>
            </w:r>
          </w:p>
        </w:tc>
        <w:tc>
          <w:tcPr>
            <w:tcW w:type="dxa" w:w="114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0.09</w:t>
            </w:r>
          </w:p>
        </w:tc>
        <w:tc>
          <w:tcPr>
            <w:tcW w:type="dxa" w:w="120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0.03</w:t>
            </w:r>
          </w:p>
        </w:tc>
        <w:tc>
          <w:tcPr>
            <w:tcW w:type="dxa" w:w="1125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20</w:t>
            </w:r>
          </w:p>
        </w:tc>
        <w:tc>
          <w:tcPr>
            <w:tcW w:type="dxa" w:w="2445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0.55 [0.08-1.18]</w:t>
            </w:r>
          </w:p>
        </w:tc>
        <w:tc>
          <w:tcPr>
            <w:tcW w:type="dxa" w:w="1875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eaeaea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(75) Figure 2A. SCR in the 1-5 extinction trials.</w:t>
            </w:r>
          </w:p>
        </w:tc>
      </w:tr>
      <w:tr>
        <w:tblPrEx>
          <w:shd w:val="clear" w:color="auto" w:fill="ced7e7"/>
        </w:tblPrEx>
        <w:trPr>
          <w:trHeight w:val="1142" w:hRule="atLeast"/>
        </w:trPr>
        <w:tc>
          <w:tcPr>
            <w:tcW w:type="dxa" w:w="2131"/>
            <w:tcBorders>
              <w:top w:val="single" w:color="d9d9d9" w:sz="6" w:space="0" w:shadow="0" w:frame="0"/>
              <w:left w:val="single" w:color="eaeaea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Dronabinol (THC)</w:t>
            </w:r>
          </w:p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7.5 mg x Placebo</w:t>
            </w:r>
          </w:p>
        </w:tc>
        <w:tc>
          <w:tcPr>
            <w:tcW w:type="dxa" w:w="135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↓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SCR in extinction recall</w:t>
            </w:r>
          </w:p>
        </w:tc>
        <w:tc>
          <w:tcPr>
            <w:tcW w:type="dxa" w:w="117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0.23</w:t>
            </w:r>
          </w:p>
        </w:tc>
        <w:tc>
          <w:tcPr>
            <w:tcW w:type="dxa" w:w="114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0.08</w:t>
            </w:r>
          </w:p>
        </w:tc>
        <w:tc>
          <w:tcPr>
            <w:tcW w:type="dxa" w:w="99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20</w:t>
            </w:r>
          </w:p>
        </w:tc>
        <w:tc>
          <w:tcPr>
            <w:tcW w:type="dxa" w:w="114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0.09</w:t>
            </w:r>
          </w:p>
        </w:tc>
        <w:tc>
          <w:tcPr>
            <w:tcW w:type="dxa" w:w="120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0.03</w:t>
            </w:r>
          </w:p>
        </w:tc>
        <w:tc>
          <w:tcPr>
            <w:tcW w:type="dxa" w:w="1125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20</w:t>
            </w:r>
          </w:p>
        </w:tc>
        <w:tc>
          <w:tcPr>
            <w:tcW w:type="dxa" w:w="2445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0.55 [0.08-1.19]</w:t>
            </w:r>
          </w:p>
        </w:tc>
        <w:tc>
          <w:tcPr>
            <w:tcW w:type="dxa" w:w="1875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d9d9d9" w:sz="6" w:space="0" w:shadow="0" w:frame="0"/>
              <w:right w:val="single" w:color="eaeaea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(75) Figure 3A. SCR during extinction retention test.</w:t>
            </w:r>
          </w:p>
        </w:tc>
      </w:tr>
      <w:tr>
        <w:tblPrEx>
          <w:shd w:val="clear" w:color="auto" w:fill="ced7e7"/>
        </w:tblPrEx>
        <w:trPr>
          <w:trHeight w:val="1172" w:hRule="atLeast"/>
        </w:trPr>
        <w:tc>
          <w:tcPr>
            <w:tcW w:type="dxa" w:w="2131"/>
            <w:tcBorders>
              <w:top w:val="single" w:color="d9d9d9" w:sz="6" w:space="0" w:shadow="0" w:frame="0"/>
              <w:left w:val="single" w:color="eaeaea" w:sz="6" w:space="0" w:shadow="0" w:frame="0"/>
              <w:bottom w:val="single" w:color="eaeaea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Dronabinol (THC)</w:t>
            </w:r>
          </w:p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 mg x Placebo</w:t>
            </w:r>
          </w:p>
        </w:tc>
        <w:tc>
          <w:tcPr>
            <w:tcW w:type="dxa" w:w="135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eaeaea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↓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SCR</w:t>
            </w:r>
          </w:p>
        </w:tc>
        <w:tc>
          <w:tcPr>
            <w:tcW w:type="dxa" w:w="117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eaeaea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0.42</w:t>
            </w:r>
          </w:p>
        </w:tc>
        <w:tc>
          <w:tcPr>
            <w:tcW w:type="dxa" w:w="114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eaeaea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0.08</w:t>
            </w:r>
          </w:p>
        </w:tc>
        <w:tc>
          <w:tcPr>
            <w:tcW w:type="dxa" w:w="99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eaeaea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18</w:t>
            </w:r>
          </w:p>
        </w:tc>
        <w:tc>
          <w:tcPr>
            <w:tcW w:type="dxa" w:w="114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eaeaea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0.25</w:t>
            </w:r>
          </w:p>
        </w:tc>
        <w:tc>
          <w:tcPr>
            <w:tcW w:type="dxa" w:w="1200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eaeaea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0.06</w:t>
            </w:r>
          </w:p>
        </w:tc>
        <w:tc>
          <w:tcPr>
            <w:tcW w:type="dxa" w:w="1125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eaeaea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18</w:t>
            </w:r>
          </w:p>
        </w:tc>
        <w:tc>
          <w:tcPr>
            <w:tcW w:type="dxa" w:w="2445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eaeaea" w:sz="6" w:space="0" w:shadow="0" w:frame="0"/>
              <w:right w:val="single" w:color="d9d9d9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0.58 [0.09-1.25]</w:t>
            </w:r>
          </w:p>
        </w:tc>
        <w:tc>
          <w:tcPr>
            <w:tcW w:type="dxa" w:w="1875"/>
            <w:tcBorders>
              <w:top w:val="single" w:color="d9d9d9" w:sz="6" w:space="0" w:shadow="0" w:frame="0"/>
              <w:left w:val="single" w:color="d9d9d9" w:sz="6" w:space="0" w:shadow="0" w:frame="0"/>
              <w:bottom w:val="single" w:color="eaeaea" w:sz="6" w:space="0" w:shadow="0" w:frame="0"/>
              <w:right w:val="single" w:color="eaeaea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 xml:space="preserve">(76) Figure 4A. SCR response. </w:t>
            </w:r>
          </w:p>
        </w:tc>
      </w:tr>
    </w:tbl>
    <w:p>
      <w:pPr>
        <w:pStyle w:val="Body A"/>
      </w:pPr>
      <w:bookmarkStart w:name="_headinghgjdgxs" w:id="2"/>
      <w:r>
        <w:rPr>
          <w:rFonts w:ascii="Arial" w:hAnsi="Arial"/>
          <w:shd w:val="clear" w:color="auto" w:fill="fefc78"/>
          <w:rtl w:val="0"/>
          <w:lang w:val="de-DE"/>
        </w:rPr>
        <w:t>Legend:</w:t>
      </w:r>
      <w:r>
        <w:rPr>
          <w:rFonts w:ascii="Arial" w:hAnsi="Arial" w:hint="default"/>
          <w:shd w:val="clear" w:color="auto" w:fill="fefc78"/>
          <w:rtl w:val="0"/>
          <w:lang w:val="en-US"/>
        </w:rPr>
        <w:t xml:space="preserve"> ↓ </w:t>
      </w:r>
      <w:r>
        <w:rPr>
          <w:rFonts w:ascii="Arial" w:hAnsi="Arial"/>
          <w:shd w:val="clear" w:color="auto" w:fill="fefc78"/>
          <w:rtl w:val="0"/>
          <w:lang w:val="en-US"/>
        </w:rPr>
        <w:t>= reduction; SCR = skin conductance response.</w:t>
      </w:r>
      <w:bookmarkEnd w:id="2"/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