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A25" w:rsidRDefault="000D1A25" w:rsidP="00096594">
      <w:pPr>
        <w:spacing w:line="480" w:lineRule="auto"/>
        <w:rPr>
          <w:rFonts w:ascii="Arial Unicode MS" w:eastAsia="Arial Unicode MS" w:hAnsi="Arial" w:cs="Arial Unicode MS"/>
        </w:rPr>
      </w:pPr>
      <w:r>
        <w:rPr>
          <w:rFonts w:ascii="Arial Unicode MS" w:eastAsia="Arial Unicode MS" w:hAnsi="Arial" w:cs="Arial Unicode MS"/>
          <w:noProof/>
          <w:lang w:eastAsia="en-IN"/>
        </w:rPr>
        <w:drawing>
          <wp:inline distT="0" distB="0" distL="0" distR="0">
            <wp:extent cx="5943600" cy="6682577"/>
            <wp:effectExtent l="0" t="0" r="0" b="4445"/>
            <wp:docPr id="2" name="Picture 2" descr="D:\Vijayakumar\June\June 02\12885_2024_12459_Article\12885_2024_12459_MOESM2_ES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Vijayakumar\June\June 02\12885_2024_12459_Article\12885_2024_12459_MOESM2_ESM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8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6594" w:rsidRDefault="00096594" w:rsidP="00096594">
      <w:pPr>
        <w:spacing w:line="480" w:lineRule="auto"/>
        <w:rPr>
          <w:rFonts w:ascii="Arial Unicode MS" w:eastAsia="Arial Unicode MS" w:hAnsi="Arial" w:cs="Arial Unicode MS"/>
        </w:rPr>
      </w:pPr>
      <w:r>
        <w:rPr>
          <w:rFonts w:ascii="Arial Unicode MS" w:eastAsia="Arial Unicode MS" w:hAnsi="Arial" w:cs="Arial Unicode MS"/>
        </w:rPr>
        <w:t>Figure S1:</w:t>
      </w:r>
      <w:r>
        <w:rPr>
          <w:rFonts w:ascii="Arial Unicode MS" w:hAnsi="Arial" w:cs="Arial Unicode MS"/>
        </w:rPr>
        <w:t xml:space="preserve"> </w:t>
      </w:r>
      <w:r>
        <w:rPr>
          <w:rFonts w:ascii="Arial Unicode MS" w:eastAsia="Arial Unicode MS" w:hAnsi="Arial" w:cs="Arial Unicode MS"/>
        </w:rPr>
        <w:t>(A) Markers for cell subpopulation annotation</w:t>
      </w:r>
      <w:r>
        <w:rPr>
          <w:rFonts w:ascii="Arial Unicode MS" w:eastAsia="Arial Unicode MS" w:hAnsi="Arial" w:cs="Arial Unicode MS" w:hint="eastAsia"/>
        </w:rPr>
        <w:t>.</w:t>
      </w:r>
      <w:r>
        <w:rPr>
          <w:rFonts w:ascii="Arial Unicode MS" w:eastAsia="Arial Unicode MS" w:hAnsi="Arial" w:cs="Arial Unicode MS"/>
        </w:rPr>
        <w:t xml:space="preserve"> (B) Schematic diagram of intercellular communication pathways</w:t>
      </w:r>
      <w:r>
        <w:rPr>
          <w:rFonts w:ascii="Arial Unicode MS" w:eastAsia="Arial Unicode MS" w:hAnsi="Arial" w:cs="Arial Unicode MS" w:hint="eastAsia"/>
        </w:rPr>
        <w:t>.</w:t>
      </w:r>
      <w:r>
        <w:rPr>
          <w:rFonts w:ascii="Arial Unicode MS" w:eastAsia="Arial Unicode MS" w:hAnsi="Arial" w:cs="Arial Unicode MS"/>
        </w:rPr>
        <w:t xml:space="preserve"> (C) </w:t>
      </w:r>
      <w:r>
        <w:rPr>
          <w:rFonts w:ascii="Arial Unicode MS" w:eastAsia="Arial Unicode MS" w:hAnsi="Arial" w:cs="Arial Unicode MS" w:hint="eastAsia"/>
        </w:rPr>
        <w:t>Expression of CD36 in PTC and Normal tissue</w:t>
      </w:r>
      <w:proofErr w:type="gramStart"/>
      <w:r>
        <w:rPr>
          <w:rFonts w:ascii="Arial Unicode MS" w:eastAsia="Arial Unicode MS" w:hAnsi="Arial" w:cs="Arial Unicode MS" w:hint="eastAsia"/>
        </w:rPr>
        <w:t>.</w:t>
      </w:r>
      <w:r>
        <w:rPr>
          <w:rFonts w:ascii="Arial Unicode MS" w:eastAsia="Arial Unicode MS" w:hAnsi="Arial" w:cs="Arial Unicode MS"/>
        </w:rPr>
        <w:t>(</w:t>
      </w:r>
      <w:proofErr w:type="gramEnd"/>
      <w:r>
        <w:rPr>
          <w:rFonts w:ascii="Arial Unicode MS" w:eastAsia="Arial Unicode MS" w:hAnsi="Arial" w:cs="Arial Unicode MS"/>
        </w:rPr>
        <w:t xml:space="preserve">D) Mapping of </w:t>
      </w:r>
      <w:r>
        <w:rPr>
          <w:rFonts w:ascii="Arial Unicode MS" w:eastAsia="Arial Unicode MS" w:hAnsi="Arial" w:cs="Arial Unicode MS"/>
        </w:rPr>
        <w:lastRenderedPageBreak/>
        <w:t>modules: blue, turquoise, red, green, and yellow</w:t>
      </w:r>
      <w:r>
        <w:rPr>
          <w:rFonts w:ascii="Arial Unicode MS" w:eastAsia="Arial Unicode MS" w:hAnsi="Arial" w:cs="Arial Unicode MS" w:hint="eastAsia"/>
        </w:rPr>
        <w:t>.</w:t>
      </w:r>
      <w:r>
        <w:rPr>
          <w:rFonts w:ascii="Arial Unicode MS" w:eastAsia="Arial Unicode MS" w:hAnsi="Arial" w:cs="Arial Unicode MS"/>
        </w:rPr>
        <w:t xml:space="preserve"> (</w:t>
      </w:r>
      <w:r>
        <w:rPr>
          <w:rFonts w:ascii="Arial Unicode MS" w:eastAsia="Arial Unicode MS" w:hAnsi="Arial" w:cs="Arial Unicode MS" w:hint="eastAsia"/>
        </w:rPr>
        <w:t>E</w:t>
      </w:r>
      <w:r>
        <w:rPr>
          <w:rFonts w:ascii="Arial Unicode MS" w:eastAsia="Arial Unicode MS" w:hAnsi="Arial" w:cs="Arial Unicode MS"/>
        </w:rPr>
        <w:t>) High-expressing genes within modules: blue, turquoise, red, green, and yellow</w:t>
      </w:r>
      <w:r>
        <w:rPr>
          <w:rFonts w:ascii="Arial Unicode MS" w:eastAsia="Arial Unicode MS" w:hAnsi="Arial" w:cs="Arial Unicode MS" w:hint="eastAsia"/>
        </w:rPr>
        <w:t xml:space="preserve">. </w:t>
      </w:r>
      <w:r>
        <w:rPr>
          <w:rFonts w:ascii="Arial Unicode MS" w:eastAsia="Arial Unicode MS" w:hAnsi="Arial" w:cs="Arial Unicode MS"/>
        </w:rPr>
        <w:t>(</w:t>
      </w:r>
      <w:r>
        <w:rPr>
          <w:rFonts w:ascii="Arial Unicode MS" w:eastAsia="Arial Unicode MS" w:hAnsi="Arial" w:cs="Arial Unicode MS" w:hint="eastAsia"/>
        </w:rPr>
        <w:t>F</w:t>
      </w:r>
      <w:r>
        <w:rPr>
          <w:rFonts w:ascii="Arial Unicode MS" w:eastAsia="Arial Unicode MS" w:hAnsi="Arial" w:cs="Arial Unicode MS"/>
        </w:rPr>
        <w:t>) Pseudo-time analysis of 43 prognostic-related genes</w:t>
      </w:r>
      <w:r>
        <w:rPr>
          <w:rFonts w:ascii="Arial Unicode MS" w:eastAsia="Arial Unicode MS" w:hAnsi="Arial" w:cs="Arial Unicode MS" w:hint="eastAsia"/>
        </w:rPr>
        <w:t>.</w:t>
      </w:r>
      <w:r>
        <w:rPr>
          <w:rFonts w:ascii="Arial Unicode MS" w:eastAsia="Arial Unicode MS" w:hAnsi="Arial" w:cs="Arial Unicode MS"/>
        </w:rPr>
        <w:t xml:space="preserve"> (</w:t>
      </w:r>
      <w:r>
        <w:rPr>
          <w:rFonts w:ascii="Arial Unicode MS" w:eastAsia="Arial Unicode MS" w:hAnsi="Arial" w:cs="Arial Unicode MS" w:hint="eastAsia"/>
        </w:rPr>
        <w:t>G</w:t>
      </w:r>
      <w:r>
        <w:rPr>
          <w:rFonts w:ascii="Arial Unicode MS" w:eastAsia="Arial Unicode MS" w:hAnsi="Arial" w:cs="Arial Unicode MS"/>
        </w:rPr>
        <w:t xml:space="preserve">) </w:t>
      </w:r>
      <w:proofErr w:type="gramStart"/>
      <w:r>
        <w:rPr>
          <w:rFonts w:ascii="Arial Unicode MS" w:eastAsia="Arial Unicode MS" w:hAnsi="Arial" w:cs="Arial Unicode MS"/>
        </w:rPr>
        <w:t>non-negative</w:t>
      </w:r>
      <w:proofErr w:type="gramEnd"/>
      <w:r>
        <w:rPr>
          <w:rFonts w:ascii="Arial Unicode MS" w:eastAsia="Arial Unicode MS" w:hAnsi="Arial" w:cs="Arial Unicode MS"/>
        </w:rPr>
        <w:t xml:space="preserve"> matrix factorization analysis</w:t>
      </w:r>
      <w:r>
        <w:rPr>
          <w:rFonts w:ascii="Arial Unicode MS" w:eastAsia="Arial Unicode MS" w:hAnsi="Arial" w:cs="Arial Unicode MS" w:hint="eastAsia"/>
        </w:rPr>
        <w:t>.</w:t>
      </w:r>
    </w:p>
    <w:p w:rsidR="000D1A25" w:rsidRDefault="000D1A25" w:rsidP="00096594">
      <w:pPr>
        <w:spacing w:line="480" w:lineRule="auto"/>
        <w:rPr>
          <w:rFonts w:ascii="Arial Unicode MS" w:hAnsi="Arial Unicode MS" w:cs="Arial Unicode MS"/>
        </w:rPr>
      </w:pPr>
    </w:p>
    <w:p w:rsidR="00096594" w:rsidRDefault="00096594" w:rsidP="00096594">
      <w:pPr>
        <w:spacing w:line="480" w:lineRule="auto"/>
        <w:rPr>
          <w:rFonts w:ascii="Arial Unicode MS" w:hAnsi="Arial Unicode MS" w:cs="Arial Unicode MS"/>
        </w:rPr>
      </w:pPr>
      <w:r>
        <w:rPr>
          <w:rFonts w:ascii="Arial Unicode MS" w:eastAsia="Arial Unicode MS" w:hAnsi="Arial" w:cs="Arial Unicode MS"/>
        </w:rPr>
        <w:t>Table</w:t>
      </w:r>
      <w:r>
        <w:rPr>
          <w:rFonts w:ascii="Arial Unicode MS" w:eastAsia="Arial Unicode MS" w:hAnsi="Arial" w:cs="Arial Unicode MS"/>
        </w:rPr>
        <w:t> </w:t>
      </w:r>
      <w:r>
        <w:rPr>
          <w:rFonts w:ascii="Arial Unicode MS" w:eastAsia="Arial Unicode MS" w:hAnsi="Arial" w:cs="Arial Unicode MS"/>
        </w:rPr>
        <w:t xml:space="preserve">1: Analysis of the correlation between fibrosis </w:t>
      </w:r>
      <w:proofErr w:type="gramStart"/>
      <w:r>
        <w:rPr>
          <w:rFonts w:ascii="Arial Unicode MS" w:eastAsia="Arial Unicode MS" w:hAnsi="Arial" w:cs="Arial Unicode MS"/>
        </w:rPr>
        <w:t>infiltration</w:t>
      </w:r>
      <w:proofErr w:type="gramEnd"/>
      <w:r>
        <w:rPr>
          <w:rFonts w:ascii="Arial Unicode MS" w:eastAsia="Arial Unicode MS" w:hAnsi="Arial" w:cs="Arial Unicode MS"/>
        </w:rPr>
        <w:t xml:space="preserve"> levels at the </w:t>
      </w:r>
      <w:proofErr w:type="spellStart"/>
      <w:r>
        <w:rPr>
          <w:rFonts w:ascii="Arial Unicode MS" w:eastAsia="Arial Unicode MS" w:hAnsi="Arial" w:cs="Arial Unicode MS"/>
        </w:rPr>
        <w:t>tumor</w:t>
      </w:r>
      <w:proofErr w:type="spellEnd"/>
      <w:r>
        <w:rPr>
          <w:rFonts w:ascii="Arial Unicode MS" w:eastAsia="Arial Unicode MS" w:hAnsi="Arial" w:cs="Arial Unicode MS"/>
        </w:rPr>
        <w:t xml:space="preserve"> invasive front and clinical pathological indicators in patients with papillary thyroid carcinoma</w:t>
      </w:r>
    </w:p>
    <w:p w:rsidR="00096594" w:rsidRDefault="00096594" w:rsidP="00096594">
      <w:pPr>
        <w:spacing w:line="480" w:lineRule="auto"/>
        <w:rPr>
          <w:rFonts w:ascii="Arial Unicode MS" w:hAnsi="Arial Unicode MS" w:cs="Arial Unicode MS"/>
        </w:rPr>
      </w:pPr>
      <w:r>
        <w:rPr>
          <w:rFonts w:ascii="Arial Unicode MS" w:eastAsia="Arial Unicode MS" w:hAnsi="Arial" w:cs="Arial Unicode MS"/>
        </w:rPr>
        <w:t>Supplementary table 1: Statistics of Clinical Characteristics</w:t>
      </w:r>
    </w:p>
    <w:p w:rsidR="002F351D" w:rsidRDefault="002F351D"/>
    <w:sectPr w:rsidR="002F351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594"/>
    <w:rsid w:val="00096594"/>
    <w:rsid w:val="000D1A25"/>
    <w:rsid w:val="002F351D"/>
    <w:rsid w:val="00CB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Vignesh Kamaraj (Integra)</dc:creator>
  <cp:lastModifiedBy>Vignesh Kamaraj (Integra)</cp:lastModifiedBy>
  <cp:revision>2</cp:revision>
  <dcterms:created xsi:type="dcterms:W3CDTF">2024-06-03T00:46:00Z</dcterms:created>
  <dcterms:modified xsi:type="dcterms:W3CDTF">2024-06-03T00:48:00Z</dcterms:modified>
</cp:coreProperties>
</file>