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01D10" w14:textId="2968B604" w:rsidR="00373CB0" w:rsidRPr="008964D7" w:rsidRDefault="003F32E2" w:rsidP="008964D7">
      <w:pPr>
        <w:pStyle w:val="Sansinterligne"/>
        <w:spacing w:line="480" w:lineRule="auto"/>
        <w:rPr>
          <w:rFonts w:ascii="Times New Roman" w:eastAsiaTheme="majorEastAsia" w:hAnsi="Times New Roman" w:cs="Times New Roman"/>
          <w:b/>
          <w:sz w:val="26"/>
          <w:szCs w:val="26"/>
          <w:lang w:val="fr-FR"/>
        </w:rPr>
      </w:pPr>
      <w:bookmarkStart w:id="0" w:name="_Toc105828543"/>
      <w:proofErr w:type="spellStart"/>
      <w:r w:rsidRPr="003F32E2">
        <w:rPr>
          <w:rFonts w:ascii="Times New Roman" w:eastAsiaTheme="majorEastAsia" w:hAnsi="Times New Roman" w:cs="Times New Roman"/>
          <w:b/>
          <w:sz w:val="26"/>
          <w:szCs w:val="26"/>
          <w:lang w:val="fr-FR"/>
        </w:rPr>
        <w:t>Addit</w:t>
      </w:r>
      <w:r>
        <w:rPr>
          <w:rFonts w:ascii="Times New Roman" w:eastAsiaTheme="majorEastAsia" w:hAnsi="Times New Roman" w:cs="Times New Roman"/>
          <w:b/>
          <w:sz w:val="26"/>
          <w:szCs w:val="26"/>
          <w:lang w:val="fr-FR"/>
        </w:rPr>
        <w:t>ional</w:t>
      </w:r>
      <w:proofErr w:type="spellEnd"/>
      <w:r>
        <w:rPr>
          <w:rFonts w:ascii="Times New Roman" w:eastAsiaTheme="majorEastAsia" w:hAnsi="Times New Roman" w:cs="Times New Roman"/>
          <w:b/>
          <w:sz w:val="26"/>
          <w:szCs w:val="26"/>
          <w:lang w:val="fr-FR"/>
        </w:rPr>
        <w:t xml:space="preserve"> File 1 </w:t>
      </w:r>
      <w:bookmarkStart w:id="1" w:name="_Toc99965956"/>
      <w:bookmarkStart w:id="2" w:name="_Toc99976074"/>
      <w:bookmarkStart w:id="3" w:name="_Toc105828544"/>
      <w:bookmarkEnd w:id="0"/>
      <w:r w:rsidR="008964D7">
        <w:rPr>
          <w:rFonts w:ascii="Times New Roman" w:eastAsiaTheme="majorEastAsia" w:hAnsi="Times New Roman" w:cs="Times New Roman"/>
          <w:b/>
          <w:sz w:val="26"/>
          <w:szCs w:val="26"/>
          <w:lang w:val="fr-FR"/>
        </w:rPr>
        <w:t xml:space="preserve">- </w:t>
      </w:r>
      <w:r w:rsidR="00373CB0" w:rsidRPr="00373CB0">
        <w:rPr>
          <w:rFonts w:ascii="Times New Roman" w:hAnsi="Times New Roman" w:cs="Times New Roman"/>
          <w:b/>
          <w:sz w:val="26"/>
          <w:szCs w:val="26"/>
          <w:lang w:val="en-GB"/>
        </w:rPr>
        <w:t>Supplementary Methodology</w:t>
      </w:r>
      <w:bookmarkEnd w:id="1"/>
      <w:bookmarkEnd w:id="2"/>
      <w:bookmarkEnd w:id="3"/>
    </w:p>
    <w:p w14:paraId="5AD798D9" w14:textId="77777777" w:rsidR="00373CB0" w:rsidRPr="00373CB0" w:rsidRDefault="00373CB0" w:rsidP="00373CB0">
      <w:pPr>
        <w:pStyle w:val="Sansinterligne"/>
        <w:spacing w:line="360" w:lineRule="auto"/>
        <w:jc w:val="both"/>
        <w:rPr>
          <w:rFonts w:ascii="Times New Roman" w:hAnsi="Times New Roman" w:cs="Times New Roman"/>
          <w:sz w:val="22"/>
          <w:szCs w:val="22"/>
          <w:lang w:val="en-GB"/>
        </w:rPr>
      </w:pPr>
    </w:p>
    <w:p w14:paraId="1C0F92DA" w14:textId="030D9BBC" w:rsidR="008321AE" w:rsidRDefault="008321AE" w:rsidP="00FB5850">
      <w:pPr>
        <w:pStyle w:val="Sansinterligne"/>
        <w:rPr>
          <w:rFonts w:ascii="Times New Roman" w:hAnsi="Times New Roman" w:cs="Times New Roman"/>
          <w:sz w:val="22"/>
          <w:szCs w:val="22"/>
          <w:lang w:val="en-GB"/>
        </w:rPr>
      </w:pPr>
      <w:r w:rsidRPr="005B51F8">
        <w:rPr>
          <w:rFonts w:ascii="Times New Roman" w:hAnsi="Times New Roman" w:cs="Times New Roman"/>
          <w:b/>
          <w:sz w:val="22"/>
          <w:szCs w:val="22"/>
          <w:lang w:val="en-US"/>
        </w:rPr>
        <w:t>Transformation of MR causal estimates from a per-1-log unit increase in ever use of cannabis to users vs. non-users</w:t>
      </w:r>
      <w:r w:rsidRPr="00FB5850">
        <w:rPr>
          <w:rFonts w:ascii="Times New Roman" w:hAnsi="Times New Roman" w:cs="Times New Roman"/>
          <w:sz w:val="22"/>
          <w:szCs w:val="22"/>
          <w:lang w:val="en-GB"/>
        </w:rPr>
        <w:t xml:space="preserve"> </w:t>
      </w:r>
    </w:p>
    <w:p w14:paraId="3C1C239C" w14:textId="77777777" w:rsidR="00FB5850" w:rsidRPr="00FB5850" w:rsidRDefault="00FB5850" w:rsidP="00FB5850">
      <w:pPr>
        <w:pStyle w:val="Sansinterligne"/>
        <w:rPr>
          <w:rFonts w:ascii="Times New Roman" w:hAnsi="Times New Roman" w:cs="Times New Roman"/>
          <w:sz w:val="22"/>
          <w:szCs w:val="22"/>
          <w:lang w:val="en-GB"/>
        </w:rPr>
      </w:pPr>
    </w:p>
    <w:p w14:paraId="2E9BBD80" w14:textId="047368CF" w:rsidR="008321AE" w:rsidRPr="00373CB0" w:rsidRDefault="00CA33A7" w:rsidP="00FB5850">
      <w:pPr>
        <w:pStyle w:val="Sansinterligne"/>
        <w:spacing w:line="360" w:lineRule="auto"/>
        <w:ind w:firstLine="340"/>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It is based on Ross et </w:t>
      </w:r>
      <w:proofErr w:type="spellStart"/>
      <w:r>
        <w:rPr>
          <w:rFonts w:ascii="Times New Roman" w:hAnsi="Times New Roman" w:cs="Times New Roman"/>
          <w:sz w:val="22"/>
          <w:szCs w:val="22"/>
          <w:lang w:val="en-GB"/>
        </w:rPr>
        <w:t>al</w:t>
      </w:r>
      <w:r w:rsidR="003A39CB">
        <w:rPr>
          <w:rFonts w:ascii="Times New Roman" w:hAnsi="Times New Roman" w:cs="Times New Roman"/>
          <w:sz w:val="22"/>
          <w:szCs w:val="22"/>
          <w:lang w:val="en-GB"/>
        </w:rPr>
        <w:t>’s</w:t>
      </w:r>
      <w:proofErr w:type="spellEnd"/>
      <w:r w:rsidR="006B4278">
        <w:rPr>
          <w:rFonts w:ascii="Times New Roman" w:hAnsi="Times New Roman" w:cs="Times New Roman"/>
          <w:sz w:val="22"/>
          <w:szCs w:val="22"/>
          <w:lang w:val="en-GB"/>
        </w:rPr>
        <w:t xml:space="preserve"> </w:t>
      </w:r>
      <w:r w:rsidR="00373CB0" w:rsidRPr="00373CB0">
        <w:rPr>
          <w:rFonts w:ascii="Times New Roman" w:hAnsi="Times New Roman" w:cs="Times New Roman"/>
          <w:sz w:val="22"/>
          <w:szCs w:val="22"/>
          <w:lang w:val="en-GB"/>
        </w:rPr>
        <w:t>equations</w:t>
      </w:r>
      <w:r w:rsidR="00262F57">
        <w:rPr>
          <w:rFonts w:ascii="Times New Roman" w:hAnsi="Times New Roman" w:cs="Times New Roman"/>
          <w:sz w:val="22"/>
          <w:szCs w:val="22"/>
          <w:lang w:val="en-GB"/>
        </w:rPr>
        <w:fldChar w:fldCharType="begin"/>
      </w:r>
      <w:r w:rsidR="00B30573">
        <w:rPr>
          <w:rFonts w:ascii="Times New Roman" w:hAnsi="Times New Roman" w:cs="Times New Roman"/>
          <w:sz w:val="22"/>
          <w:szCs w:val="22"/>
          <w:lang w:val="en-GB"/>
        </w:rPr>
        <w:instrText xml:space="preserve"> ADDIN ZOTERO_ITEM CSL_CITATION {"citationID":"NxdEGd3a","properties":{"formattedCitation":"[1]","plainCitation":"[1]","noteIndex":0},"citationItems":[{"id":170,"uris":["http://zotero.org/users/local/zfL9pym4/items/SYIDD7K9"],"itemData":{"id":170,"type":"article-journal","abstract":"INTRODUCTION: Type 2 diabetes is a strong risk factor for coronary artery disease (CAD). However, the absence of a clear reduction in CAD by intensive glucose lowering in randomized controlled trials has fuelled uncertainty regarding the causal role of dysglycaemia and CAD.\nOBJECTIVE: To assess whether Mendelian randomization supports a causal role of dysglycaemia and diabetes for risk of CAD.\nMETHODS: Effect size estimates of common genetic variants associated with fasting glucose (FG), glycated haemoglobin (HbA1c), and diabetes were obtained from the Meta-Analyses of Glucose and Insulin-Related Traits Consortium and Diabetes Genetics Replication and Meta-Analysis consortia. The corresponding effect estimates of these single nucleotide polymorphisms (SNPs) on the risk of CAD were then evaluated in CARDIOGRAMplusC4D.\nRESULTS: SNPs associated with HbA1c and diabetes were associated with an increased risk of CAD. Using information from 59 genetic variants associated with diabetes, the causal effect of diabetes on the risk of CAD was estimated at an odds ratio (OR) of 1.63 (95% Confidence Interval (CI): 1.23-2.07; P = 0.002). On the other hand, nine genetic variants associated with HbA1c were associated with an OR of 1.53 per 1% HbA1c increase (95% CI: 1.14-2.05; P = 0.023) in the risk of CAD while this effect was non-significant among 30 genetic variants associated with FG per mmol/L (OR: 1.18, 95% CI: 0.97-1.42; P = 0.102). No significant differences were observed when categorizing genetic loci according to their effect on either β-cell dysfunction or insulin resistance.\nCONCLUSIONS: These Mendelian randomization analyses support a causal role for diabetes and its associated high glucose levels on CAD, and suggest that long-term glucose lowering may reduce CAD events.","container-title":"European Heart Journal","DOI":"10.1093/eurheartj/ehv083","ISSN":"1522-9645","issue":"23","journalAbbreviation":"Eur Heart J","language":"eng","note":"PMID: 25825043","page":"1454-1462","source":"PubMed","title":"Mendelian randomization analysis supports the causal role of dysglycaemia and diabetes in the risk of coronary artery disease","volume":"36","author":[{"family":"Ross","given":"Stephanie"},{"family":"Gerstein","given":"Hertzel C."},{"family":"Eikelboom","given":"John"},{"family":"Anand","given":"Sonia S."},{"family":"Yusuf","given":"Salim"},{"family":"Paré","given":"Guillaume"}],"issued":{"date-parts":[["2015",6,14]]}}}],"schema":"https://github.com/citation-style-language/schema/raw/master/csl-citation.json"} </w:instrText>
      </w:r>
      <w:r w:rsidR="00262F57">
        <w:rPr>
          <w:rFonts w:ascii="Times New Roman" w:hAnsi="Times New Roman" w:cs="Times New Roman"/>
          <w:sz w:val="22"/>
          <w:szCs w:val="22"/>
          <w:lang w:val="en-GB"/>
        </w:rPr>
        <w:fldChar w:fldCharType="separate"/>
      </w:r>
      <w:r w:rsidR="00B30573" w:rsidRPr="00B30573">
        <w:rPr>
          <w:rFonts w:ascii="Times New Roman" w:hAnsi="Times New Roman" w:cs="Times New Roman"/>
          <w:sz w:val="22"/>
          <w:lang w:val="en-US"/>
        </w:rPr>
        <w:t>[1]</w:t>
      </w:r>
      <w:r w:rsidR="00262F57">
        <w:rPr>
          <w:rFonts w:ascii="Times New Roman" w:hAnsi="Times New Roman" w:cs="Times New Roman"/>
          <w:sz w:val="22"/>
          <w:szCs w:val="22"/>
          <w:lang w:val="en-GB"/>
        </w:rPr>
        <w:fldChar w:fldCharType="end"/>
      </w:r>
      <w:r w:rsidR="00373CB0" w:rsidRPr="00373CB0">
        <w:rPr>
          <w:rFonts w:ascii="Times New Roman" w:hAnsi="Times New Roman" w:cs="Times New Roman"/>
          <w:sz w:val="22"/>
          <w:szCs w:val="22"/>
          <w:lang w:val="en-GB"/>
        </w:rPr>
        <w:t xml:space="preserve"> and description</w:t>
      </w:r>
      <w:r w:rsidR="003A39CB">
        <w:rPr>
          <w:rFonts w:ascii="Times New Roman" w:hAnsi="Times New Roman" w:cs="Times New Roman"/>
          <w:sz w:val="22"/>
          <w:szCs w:val="22"/>
          <w:lang w:val="en-GB"/>
        </w:rPr>
        <w:t>s below come</w:t>
      </w:r>
      <w:r w:rsidR="00373CB0" w:rsidRPr="00373CB0">
        <w:rPr>
          <w:rFonts w:ascii="Times New Roman" w:hAnsi="Times New Roman" w:cs="Times New Roman"/>
          <w:sz w:val="22"/>
          <w:szCs w:val="22"/>
          <w:lang w:val="en-GB"/>
        </w:rPr>
        <w:t xml:space="preserve"> from Vaucher et al</w:t>
      </w:r>
      <w:r w:rsidR="00262F57">
        <w:rPr>
          <w:rFonts w:ascii="Times New Roman" w:hAnsi="Times New Roman" w:cs="Times New Roman"/>
          <w:sz w:val="22"/>
          <w:szCs w:val="22"/>
          <w:lang w:val="en-GB"/>
        </w:rPr>
        <w:fldChar w:fldCharType="begin"/>
      </w:r>
      <w:r w:rsidR="00B30573">
        <w:rPr>
          <w:rFonts w:ascii="Times New Roman" w:hAnsi="Times New Roman" w:cs="Times New Roman"/>
          <w:sz w:val="22"/>
          <w:szCs w:val="22"/>
          <w:lang w:val="en-GB"/>
        </w:rPr>
        <w:instrText xml:space="preserve"> ADDIN ZOTERO_ITEM CSL_CITATION {"citationID":"z4SGfNrW","properties":{"formattedCitation":"[2]","plainCitation":"[2]","noteIndex":0},"citationItems":[{"id":637,"uris":["http://zotero.org/users/local/zfL9pym4/items/U7FX4HCF"],"itemData":{"id":637,"type":"article-journal","abstract":"Background In Switzerland, two distinct algorithms are recommended for cardiovascular prevention: (a) Arbeitsgruppe Lipide und Atherosklerose (AGLA); and (b) Eu...","container-title":"European Journal of Preventive Cardiology","language":"en","source":"crypto.unil.ch","title":"Comparison of Swiss and European risk algorithms for cardiovascular prevention in Switzerland - Hadrien Beuret, Nadine Hausler, David Nanchen, Marie Méan, Pedro Marques-Vidal, Julien Vaucher,","URL":"https://journals.sagepub.com/doi/full/10.1177/2047487320906305?rfr_dat=cr_pub%3Dpubmed&amp;url_ver=Z39.88-2003&amp;rfr_id=ori%3Arid%3Acrossref.org&amp;journalCode=cprc","author":[{"family":"Vaucher","given":"Hadrien Beuret","suffix":"Nadine Hausler, David Nanchen, Marie Méan, Pedro Marques-Vidal, Julien"}],"accessed":{"date-parts":[["2020",4,7]]},"issued":{"date-parts":[["2020",2,23]]}}}],"schema":"https://github.com/citation-style-language/schema/raw/master/csl-citation.json"} </w:instrText>
      </w:r>
      <w:r w:rsidR="00262F57">
        <w:rPr>
          <w:rFonts w:ascii="Times New Roman" w:hAnsi="Times New Roman" w:cs="Times New Roman"/>
          <w:sz w:val="22"/>
          <w:szCs w:val="22"/>
          <w:lang w:val="en-GB"/>
        </w:rPr>
        <w:fldChar w:fldCharType="separate"/>
      </w:r>
      <w:r w:rsidR="00B30573" w:rsidRPr="00B30573">
        <w:rPr>
          <w:rFonts w:ascii="Times New Roman" w:hAnsi="Times New Roman" w:cs="Times New Roman"/>
          <w:sz w:val="22"/>
          <w:lang w:val="en-US"/>
        </w:rPr>
        <w:t>[2]</w:t>
      </w:r>
      <w:r w:rsidR="00262F57">
        <w:rPr>
          <w:rFonts w:ascii="Times New Roman" w:hAnsi="Times New Roman" w:cs="Times New Roman"/>
          <w:sz w:val="22"/>
          <w:szCs w:val="22"/>
          <w:lang w:val="en-GB"/>
        </w:rPr>
        <w:fldChar w:fldCharType="end"/>
      </w:r>
      <w:r w:rsidR="00373CB0" w:rsidRPr="00373CB0">
        <w:rPr>
          <w:rFonts w:ascii="Times New Roman" w:hAnsi="Times New Roman" w:cs="Times New Roman"/>
          <w:sz w:val="22"/>
          <w:szCs w:val="22"/>
          <w:lang w:val="en-GB"/>
        </w:rPr>
        <w:t xml:space="preserve">: </w:t>
      </w:r>
    </w:p>
    <w:p w14:paraId="27C1929F" w14:textId="77777777" w:rsidR="00373CB0" w:rsidRPr="00373CB0" w:rsidRDefault="00373CB0" w:rsidP="00373CB0">
      <w:pPr>
        <w:pStyle w:val="Sansinterligne"/>
        <w:spacing w:line="360" w:lineRule="auto"/>
        <w:jc w:val="both"/>
        <w:rPr>
          <w:rFonts w:ascii="Times New Roman" w:hAnsi="Times New Roman" w:cs="Times New Roman"/>
          <w:sz w:val="22"/>
          <w:szCs w:val="22"/>
          <w:lang w:val="en-GB"/>
        </w:rPr>
      </w:pPr>
      <w:bookmarkStart w:id="4" w:name="_Toc99965958"/>
      <w:bookmarkStart w:id="5" w:name="_Toc99976076"/>
      <w:bookmarkStart w:id="6" w:name="_Toc105828546"/>
      <w:r w:rsidRPr="00373CB0">
        <w:rPr>
          <w:rFonts w:ascii="Times New Roman" w:hAnsi="Times New Roman" w:cs="Times New Roman"/>
          <w:sz w:val="22"/>
          <w:szCs w:val="22"/>
          <w:u w:val="single"/>
          <w:lang w:val="en-GB"/>
        </w:rPr>
        <w:t>Given</w:t>
      </w:r>
      <w:r w:rsidRPr="00373CB0">
        <w:rPr>
          <w:rFonts w:ascii="Times New Roman" w:hAnsi="Times New Roman" w:cs="Times New Roman"/>
          <w:sz w:val="22"/>
          <w:szCs w:val="22"/>
          <w:lang w:val="en-GB"/>
        </w:rPr>
        <w:t>:</w:t>
      </w:r>
      <w:bookmarkEnd w:id="4"/>
      <w:bookmarkEnd w:id="5"/>
      <w:bookmarkEnd w:id="6"/>
    </w:p>
    <w:p w14:paraId="48229D4D" w14:textId="6C30CACF" w:rsidR="00F67DEB" w:rsidRPr="00A71AE0" w:rsidRDefault="00373CB0" w:rsidP="0026420C">
      <w:pPr>
        <w:pStyle w:val="Sansinterligne"/>
        <w:numPr>
          <w:ilvl w:val="0"/>
          <w:numId w:val="3"/>
        </w:numPr>
        <w:spacing w:line="360" w:lineRule="auto"/>
        <w:jc w:val="both"/>
        <w:rPr>
          <w:rFonts w:ascii="Times New Roman" w:hAnsi="Times New Roman" w:cs="Times New Roman"/>
          <w:sz w:val="22"/>
          <w:szCs w:val="22"/>
          <w:lang w:val="en-GB"/>
        </w:rPr>
      </w:pPr>
      <w:r w:rsidRPr="00A71AE0">
        <w:rPr>
          <w:rFonts w:ascii="Times New Roman" w:hAnsi="Times New Roman" w:cs="Times New Roman"/>
          <w:sz w:val="22"/>
          <w:szCs w:val="22"/>
          <w:lang w:val="en-GB"/>
        </w:rPr>
        <w:t>Prevalence of</w:t>
      </w:r>
      <w:r w:rsidR="00640F02" w:rsidRPr="00A71AE0">
        <w:rPr>
          <w:rFonts w:ascii="Times New Roman" w:hAnsi="Times New Roman" w:cs="Times New Roman"/>
          <w:sz w:val="22"/>
          <w:szCs w:val="22"/>
          <w:lang w:val="en-GB"/>
        </w:rPr>
        <w:t xml:space="preserve"> </w:t>
      </w:r>
      <w:r w:rsidR="00F8508A" w:rsidRPr="00A71AE0">
        <w:rPr>
          <w:rFonts w:ascii="Times New Roman" w:hAnsi="Times New Roman" w:cs="Times New Roman"/>
          <w:sz w:val="22"/>
          <w:szCs w:val="22"/>
          <w:lang w:val="en-GB"/>
        </w:rPr>
        <w:t>global</w:t>
      </w:r>
      <w:r w:rsidR="00640F02" w:rsidRPr="00A71AE0">
        <w:rPr>
          <w:rFonts w:ascii="Times New Roman" w:hAnsi="Times New Roman" w:cs="Times New Roman"/>
          <w:sz w:val="22"/>
          <w:szCs w:val="22"/>
          <w:lang w:val="en-GB"/>
        </w:rPr>
        <w:t xml:space="preserve"> lifetime</w:t>
      </w:r>
      <w:r w:rsidRPr="00A71AE0">
        <w:rPr>
          <w:rFonts w:ascii="Times New Roman" w:hAnsi="Times New Roman" w:cs="Times New Roman"/>
          <w:sz w:val="22"/>
          <w:szCs w:val="22"/>
          <w:lang w:val="en-GB"/>
        </w:rPr>
        <w:t xml:space="preserve"> cannabis use </w:t>
      </w:r>
      <w:r w:rsidR="00640F02" w:rsidRPr="00A71AE0">
        <w:rPr>
          <w:rFonts w:ascii="Times New Roman" w:hAnsi="Times New Roman" w:cs="Times New Roman"/>
          <w:sz w:val="22"/>
          <w:szCs w:val="22"/>
          <w:lang w:val="en-GB"/>
        </w:rPr>
        <w:t xml:space="preserve">= </w:t>
      </w:r>
      <w:r w:rsidR="00F8508A" w:rsidRPr="00A71AE0">
        <w:rPr>
          <w:rFonts w:ascii="Times New Roman" w:hAnsi="Times New Roman" w:cs="Times New Roman"/>
          <w:sz w:val="22"/>
          <w:szCs w:val="22"/>
          <w:lang w:val="en-GB"/>
        </w:rPr>
        <w:t>0.272</w:t>
      </w:r>
      <w:r w:rsidR="00640F02" w:rsidRPr="00A71AE0">
        <w:rPr>
          <w:rFonts w:ascii="Times New Roman" w:hAnsi="Times New Roman" w:cs="Times New Roman"/>
          <w:sz w:val="22"/>
          <w:szCs w:val="22"/>
          <w:lang w:val="en-GB"/>
        </w:rPr>
        <w:t xml:space="preserve"> for</w:t>
      </w:r>
      <w:r w:rsidR="00262F57">
        <w:rPr>
          <w:rFonts w:ascii="Times New Roman" w:hAnsi="Times New Roman" w:cs="Times New Roman"/>
          <w:sz w:val="22"/>
          <w:szCs w:val="22"/>
          <w:lang w:val="en-GB"/>
        </w:rPr>
        <w:t xml:space="preserve"> </w:t>
      </w:r>
      <w:r w:rsidR="00567C23">
        <w:rPr>
          <w:rFonts w:ascii="Times New Roman" w:hAnsi="Times New Roman" w:cs="Times New Roman"/>
          <w:sz w:val="22"/>
          <w:szCs w:val="22"/>
          <w:lang w:val="en-GB"/>
        </w:rPr>
        <w:t>European</w:t>
      </w:r>
      <w:r w:rsidR="00640F02" w:rsidRPr="00A71AE0">
        <w:rPr>
          <w:rFonts w:ascii="Times New Roman" w:hAnsi="Times New Roman" w:cs="Times New Roman"/>
          <w:sz w:val="22"/>
          <w:szCs w:val="22"/>
          <w:lang w:val="en-GB"/>
        </w:rPr>
        <w:t xml:space="preserve"> population.</w:t>
      </w:r>
      <w:r w:rsidR="00A71AE0" w:rsidRPr="00A71AE0">
        <w:rPr>
          <w:rFonts w:ascii="Times New Roman" w:hAnsi="Times New Roman" w:cs="Times New Roman"/>
          <w:sz w:val="22"/>
          <w:szCs w:val="22"/>
          <w:lang w:val="en-GB"/>
        </w:rPr>
        <w:fldChar w:fldCharType="begin"/>
      </w:r>
      <w:r w:rsidR="00B30573">
        <w:rPr>
          <w:rFonts w:ascii="Times New Roman" w:hAnsi="Times New Roman" w:cs="Times New Roman"/>
          <w:sz w:val="22"/>
          <w:szCs w:val="22"/>
          <w:lang w:val="en-GB"/>
        </w:rPr>
        <w:instrText xml:space="preserve"> ADDIN ZOTERO_ITEM CSL_CITATION {"citationID":"G5izogqd","properties":{"formattedCitation":"[3]","plainCitation":"[3]","noteIndex":0},"citationItems":[{"id":1107,"uris":["http://zotero.org/users/local/zfL9pym4/items/546EK2TF"],"itemData":{"id":1107,"type":"book","event-place":"LU","language":"eng","publisher":"Publications Office","publisher-place":"LU","source":"DOI.org (CSL JSON)","title":"European drug report 2021: trends and developments.","title-short":"European drug report 2021","URL":"https://data.europa.eu/doi/10.2810/18539","author":[{"literal":"European Monitoring Centre for Drugs and Drug Addiction."}],"accessed":{"date-parts":[["2022",7,4]]},"issued":{"date-parts":[["2021"]]}}}],"schema":"https://github.com/citation-style-language/schema/raw/master/csl-citation.json"} </w:instrText>
      </w:r>
      <w:r w:rsidR="00A71AE0" w:rsidRPr="00A71AE0">
        <w:rPr>
          <w:rFonts w:ascii="Times New Roman" w:hAnsi="Times New Roman" w:cs="Times New Roman"/>
          <w:sz w:val="22"/>
          <w:szCs w:val="22"/>
          <w:lang w:val="en-GB"/>
        </w:rPr>
        <w:fldChar w:fldCharType="separate"/>
      </w:r>
      <w:r w:rsidR="00B30573" w:rsidRPr="00B30573">
        <w:rPr>
          <w:rFonts w:ascii="Times New Roman" w:hAnsi="Times New Roman" w:cs="Times New Roman"/>
          <w:sz w:val="22"/>
          <w:lang w:val="en-US"/>
        </w:rPr>
        <w:t>[3]</w:t>
      </w:r>
      <w:r w:rsidR="00A71AE0" w:rsidRPr="00A71AE0">
        <w:rPr>
          <w:rFonts w:ascii="Times New Roman" w:hAnsi="Times New Roman" w:cs="Times New Roman"/>
          <w:sz w:val="22"/>
          <w:szCs w:val="22"/>
          <w:lang w:val="en-GB"/>
        </w:rPr>
        <w:fldChar w:fldCharType="end"/>
      </w:r>
      <w:r w:rsidRPr="00A71AE0">
        <w:rPr>
          <w:rFonts w:ascii="Times New Roman" w:hAnsi="Times New Roman" w:cs="Times New Roman"/>
          <w:sz w:val="22"/>
          <w:szCs w:val="22"/>
          <w:lang w:val="en-GB"/>
        </w:rPr>
        <w:t xml:space="preserve"> </w:t>
      </w:r>
    </w:p>
    <w:p w14:paraId="72F96E02" w14:textId="33CF7612" w:rsidR="00373CB0" w:rsidRDefault="0026420C" w:rsidP="00373CB0">
      <w:pPr>
        <w:pStyle w:val="Sansinterligne"/>
        <w:numPr>
          <w:ilvl w:val="0"/>
          <w:numId w:val="3"/>
        </w:numPr>
        <w:spacing w:line="360" w:lineRule="auto"/>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Prevalence of CAD and </w:t>
      </w:r>
      <w:r w:rsidR="00B30EA5">
        <w:rPr>
          <w:rFonts w:ascii="Times New Roman" w:hAnsi="Times New Roman" w:cs="Times New Roman"/>
          <w:sz w:val="22"/>
          <w:szCs w:val="22"/>
          <w:lang w:val="en-GB"/>
        </w:rPr>
        <w:t>IS</w:t>
      </w:r>
      <w:r>
        <w:rPr>
          <w:rFonts w:ascii="Times New Roman" w:hAnsi="Times New Roman" w:cs="Times New Roman"/>
          <w:sz w:val="22"/>
          <w:szCs w:val="22"/>
          <w:lang w:val="en-GB"/>
        </w:rPr>
        <w:t xml:space="preserve"> in non-users </w:t>
      </w:r>
      <w:r w:rsidR="00373CB0" w:rsidRPr="0026420C">
        <w:rPr>
          <w:rFonts w:ascii="Times New Roman" w:hAnsi="Times New Roman" w:cs="Times New Roman"/>
          <w:sz w:val="22"/>
          <w:szCs w:val="22"/>
          <w:lang w:val="en-GB"/>
        </w:rPr>
        <w:t xml:space="preserve">of cannabis from an observational cohort. </w:t>
      </w:r>
    </w:p>
    <w:p w14:paraId="65FE372A" w14:textId="2111F6D6" w:rsidR="0026420C" w:rsidRDefault="0026420C" w:rsidP="00373CB0">
      <w:pPr>
        <w:pStyle w:val="Sansinterligne"/>
        <w:numPr>
          <w:ilvl w:val="0"/>
          <w:numId w:val="3"/>
        </w:numPr>
        <w:spacing w:line="360" w:lineRule="auto"/>
        <w:jc w:val="both"/>
        <w:rPr>
          <w:rFonts w:ascii="Times New Roman" w:hAnsi="Times New Roman" w:cs="Times New Roman"/>
          <w:sz w:val="22"/>
          <w:szCs w:val="22"/>
          <w:lang w:val="en-GB"/>
        </w:rPr>
      </w:pPr>
      <w:r w:rsidRPr="00373CB0">
        <w:rPr>
          <w:rFonts w:ascii="Times New Roman" w:hAnsi="Times New Roman" w:cs="Times New Roman"/>
          <w:sz w:val="22"/>
          <w:szCs w:val="22"/>
          <w:lang w:val="en-GB"/>
        </w:rPr>
        <w:t xml:space="preserve">Odds ratio for </w:t>
      </w:r>
      <w:r>
        <w:rPr>
          <w:rFonts w:ascii="Times New Roman" w:hAnsi="Times New Roman" w:cs="Times New Roman"/>
          <w:sz w:val="22"/>
          <w:szCs w:val="22"/>
          <w:lang w:val="en-GB"/>
        </w:rPr>
        <w:t xml:space="preserve">CAD and </w:t>
      </w:r>
      <w:r w:rsidR="00B30EA5">
        <w:rPr>
          <w:rFonts w:ascii="Times New Roman" w:hAnsi="Times New Roman" w:cs="Times New Roman"/>
          <w:sz w:val="22"/>
          <w:szCs w:val="22"/>
          <w:lang w:val="en-GB"/>
        </w:rPr>
        <w:t>IS</w:t>
      </w:r>
      <w:r w:rsidRPr="00373CB0">
        <w:rPr>
          <w:rFonts w:ascii="Times New Roman" w:hAnsi="Times New Roman" w:cs="Times New Roman"/>
          <w:sz w:val="22"/>
          <w:szCs w:val="22"/>
          <w:lang w:val="en-GB"/>
        </w:rPr>
        <w:t xml:space="preserve"> associated with genetically determined cannabis use (users vs. non users) at the population level</w:t>
      </w:r>
    </w:p>
    <w:p w14:paraId="16499EA7" w14:textId="62F5D106" w:rsidR="0026420C" w:rsidRPr="00FB5850" w:rsidRDefault="0026420C" w:rsidP="0026420C">
      <w:pPr>
        <w:pStyle w:val="Sansinterligne"/>
        <w:numPr>
          <w:ilvl w:val="0"/>
          <w:numId w:val="3"/>
        </w:numPr>
        <w:spacing w:line="360" w:lineRule="auto"/>
        <w:jc w:val="both"/>
        <w:rPr>
          <w:rFonts w:ascii="Times New Roman" w:hAnsi="Times New Roman" w:cs="Times New Roman"/>
          <w:sz w:val="22"/>
          <w:szCs w:val="22"/>
          <w:lang w:val="en-GB"/>
        </w:rPr>
      </w:pPr>
      <w:r w:rsidRPr="0026420C">
        <w:rPr>
          <w:rFonts w:ascii="Times New Roman" w:hAnsi="Times New Roman" w:cs="Times New Roman"/>
          <w:sz w:val="22"/>
          <w:szCs w:val="22"/>
          <w:lang w:val="en-GB"/>
        </w:rPr>
        <w:t xml:space="preserve"> </w:t>
      </w:r>
      <w:r w:rsidR="00373CB0" w:rsidRPr="0026420C">
        <w:rPr>
          <w:rFonts w:ascii="Times New Roman" w:hAnsi="Times New Roman" w:cs="Times New Roman"/>
          <w:sz w:val="22"/>
          <w:szCs w:val="22"/>
          <w:lang w:val="en-GB"/>
        </w:rPr>
        <w:t xml:space="preserve">Genetic association with </w:t>
      </w:r>
      <w:r>
        <w:rPr>
          <w:rFonts w:ascii="Times New Roman" w:hAnsi="Times New Roman" w:cs="Times New Roman"/>
          <w:sz w:val="22"/>
          <w:szCs w:val="22"/>
          <w:lang w:val="en-GB"/>
        </w:rPr>
        <w:t xml:space="preserve">CAD and </w:t>
      </w:r>
      <w:r w:rsidR="00B30EA5">
        <w:rPr>
          <w:rFonts w:ascii="Times New Roman" w:hAnsi="Times New Roman" w:cs="Times New Roman"/>
          <w:sz w:val="22"/>
          <w:szCs w:val="22"/>
          <w:lang w:val="en-GB"/>
        </w:rPr>
        <w:t>IS</w:t>
      </w:r>
      <w:r w:rsidR="00373CB0" w:rsidRPr="0026420C">
        <w:rPr>
          <w:rFonts w:ascii="Times New Roman" w:hAnsi="Times New Roman" w:cs="Times New Roman"/>
          <w:sz w:val="22"/>
          <w:szCs w:val="22"/>
          <w:lang w:val="en-GB"/>
        </w:rPr>
        <w:t xml:space="preserve"> as function of genetic association with use of cannabis (where causal genetic effects are expressed as Log OR per allele for both </w:t>
      </w:r>
      <w:r>
        <w:rPr>
          <w:rFonts w:ascii="Times New Roman" w:hAnsi="Times New Roman" w:cs="Times New Roman"/>
          <w:sz w:val="22"/>
          <w:szCs w:val="22"/>
          <w:lang w:val="en-GB"/>
        </w:rPr>
        <w:t>outcome</w:t>
      </w:r>
      <w:r w:rsidR="00373CB0" w:rsidRPr="0026420C">
        <w:rPr>
          <w:rFonts w:ascii="Times New Roman" w:hAnsi="Times New Roman" w:cs="Times New Roman"/>
          <w:sz w:val="22"/>
          <w:szCs w:val="22"/>
          <w:lang w:val="en-GB"/>
        </w:rPr>
        <w:t xml:space="preserve"> and use of cannabis)</w:t>
      </w:r>
    </w:p>
    <w:p w14:paraId="21581E33" w14:textId="77777777" w:rsidR="00373CB0" w:rsidRPr="00373CB0" w:rsidRDefault="00373CB0" w:rsidP="00373CB0">
      <w:pPr>
        <w:pStyle w:val="Sansinterligne"/>
        <w:spacing w:line="360" w:lineRule="auto"/>
        <w:jc w:val="both"/>
        <w:rPr>
          <w:rFonts w:ascii="Times New Roman" w:hAnsi="Times New Roman" w:cs="Times New Roman"/>
          <w:sz w:val="22"/>
          <w:szCs w:val="22"/>
          <w:lang w:val="en-GB"/>
        </w:rPr>
      </w:pPr>
      <w:bookmarkStart w:id="7" w:name="_Toc99965959"/>
      <w:bookmarkStart w:id="8" w:name="_Toc99976077"/>
      <w:bookmarkStart w:id="9" w:name="_Toc105828547"/>
      <w:r w:rsidRPr="00373CB0">
        <w:rPr>
          <w:rFonts w:ascii="Times New Roman" w:hAnsi="Times New Roman" w:cs="Times New Roman"/>
          <w:sz w:val="22"/>
          <w:szCs w:val="22"/>
          <w:u w:val="single"/>
          <w:lang w:val="en-GB"/>
        </w:rPr>
        <w:t>The following can be calculated</w:t>
      </w:r>
      <w:r w:rsidRPr="00373CB0">
        <w:rPr>
          <w:rFonts w:ascii="Times New Roman" w:hAnsi="Times New Roman" w:cs="Times New Roman"/>
          <w:sz w:val="22"/>
          <w:szCs w:val="22"/>
          <w:lang w:val="en-GB"/>
        </w:rPr>
        <w:t>:</w:t>
      </w:r>
      <w:bookmarkEnd w:id="7"/>
      <w:bookmarkEnd w:id="8"/>
      <w:bookmarkEnd w:id="9"/>
    </w:p>
    <w:p w14:paraId="4C8B407A" w14:textId="18AEF569" w:rsidR="00373CB0" w:rsidRDefault="00373CB0" w:rsidP="0026420C">
      <w:pPr>
        <w:pStyle w:val="Sansinterligne"/>
        <w:numPr>
          <w:ilvl w:val="0"/>
          <w:numId w:val="3"/>
        </w:numPr>
        <w:spacing w:line="360" w:lineRule="auto"/>
        <w:jc w:val="both"/>
        <w:rPr>
          <w:rFonts w:ascii="Times New Roman" w:hAnsi="Times New Roman" w:cs="Times New Roman"/>
          <w:sz w:val="22"/>
          <w:szCs w:val="22"/>
          <w:lang w:val="en-GB"/>
        </w:rPr>
      </w:pPr>
      <w:r w:rsidRPr="00373CB0">
        <w:rPr>
          <w:rFonts w:ascii="Times New Roman" w:hAnsi="Times New Roman" w:cs="Times New Roman"/>
          <w:sz w:val="22"/>
          <w:szCs w:val="22"/>
          <w:lang w:val="en-GB"/>
        </w:rPr>
        <w:t xml:space="preserve">Calculated population prevalence of </w:t>
      </w:r>
      <w:r w:rsidR="0026420C">
        <w:rPr>
          <w:rFonts w:ascii="Times New Roman" w:hAnsi="Times New Roman" w:cs="Times New Roman"/>
          <w:sz w:val="22"/>
          <w:szCs w:val="22"/>
          <w:lang w:val="en-GB"/>
        </w:rPr>
        <w:t xml:space="preserve">CAD and </w:t>
      </w:r>
      <w:r w:rsidR="00B30EA5">
        <w:rPr>
          <w:rFonts w:ascii="Times New Roman" w:hAnsi="Times New Roman" w:cs="Times New Roman"/>
          <w:sz w:val="22"/>
          <w:szCs w:val="22"/>
          <w:lang w:val="en-GB"/>
        </w:rPr>
        <w:t>IS</w:t>
      </w:r>
      <w:r w:rsidRPr="00373CB0">
        <w:rPr>
          <w:rFonts w:ascii="Times New Roman" w:hAnsi="Times New Roman" w:cs="Times New Roman"/>
          <w:sz w:val="22"/>
          <w:szCs w:val="22"/>
          <w:lang w:val="en-GB"/>
        </w:rPr>
        <w:t xml:space="preserve">: </w:t>
      </w:r>
      <w:r w:rsidRPr="0026420C">
        <w:rPr>
          <w:rFonts w:ascii="Times New Roman" w:hAnsi="Times New Roman" w:cs="Times New Roman"/>
          <w:b/>
          <w:sz w:val="22"/>
          <w:szCs w:val="22"/>
          <w:lang w:val="en-GB"/>
        </w:rPr>
        <w:t>(A × B × C) + (1 - A) × B</w:t>
      </w:r>
    </w:p>
    <w:p w14:paraId="153559C5" w14:textId="06F295C1" w:rsidR="0026420C" w:rsidRDefault="00373CB0" w:rsidP="00373CB0">
      <w:pPr>
        <w:pStyle w:val="Sansinterligne"/>
        <w:numPr>
          <w:ilvl w:val="0"/>
          <w:numId w:val="3"/>
        </w:numPr>
        <w:spacing w:line="360" w:lineRule="auto"/>
        <w:jc w:val="both"/>
        <w:rPr>
          <w:rFonts w:ascii="Times New Roman" w:hAnsi="Times New Roman" w:cs="Times New Roman"/>
          <w:sz w:val="22"/>
          <w:szCs w:val="22"/>
          <w:lang w:val="en-GB"/>
        </w:rPr>
      </w:pPr>
      <w:r w:rsidRPr="0026420C">
        <w:rPr>
          <w:rFonts w:ascii="Times New Roman" w:hAnsi="Times New Roman" w:cs="Times New Roman"/>
          <w:sz w:val="22"/>
          <w:szCs w:val="22"/>
          <w:lang w:val="en-GB"/>
        </w:rPr>
        <w:t xml:space="preserve">Estimated prevalence of </w:t>
      </w:r>
      <w:r w:rsidR="0026420C">
        <w:rPr>
          <w:rFonts w:ascii="Times New Roman" w:hAnsi="Times New Roman" w:cs="Times New Roman"/>
          <w:sz w:val="22"/>
          <w:szCs w:val="22"/>
          <w:lang w:val="en-GB"/>
        </w:rPr>
        <w:t xml:space="preserve">CAD and </w:t>
      </w:r>
      <w:r w:rsidR="00B30EA5">
        <w:rPr>
          <w:rFonts w:ascii="Times New Roman" w:hAnsi="Times New Roman" w:cs="Times New Roman"/>
          <w:sz w:val="22"/>
          <w:szCs w:val="22"/>
          <w:lang w:val="en-GB"/>
        </w:rPr>
        <w:t>IS</w:t>
      </w:r>
      <w:r w:rsidRPr="0026420C">
        <w:rPr>
          <w:rFonts w:ascii="Times New Roman" w:hAnsi="Times New Roman" w:cs="Times New Roman"/>
          <w:sz w:val="22"/>
          <w:szCs w:val="22"/>
          <w:lang w:val="en-GB"/>
        </w:rPr>
        <w:t xml:space="preserve"> in individuals with a theoretical increase in risk of use of cannabis of </w:t>
      </w:r>
      <w:r w:rsidRPr="0026420C">
        <w:rPr>
          <w:rFonts w:ascii="Times New Roman" w:hAnsi="Times New Roman" w:cs="Times New Roman"/>
          <w:i/>
          <w:sz w:val="22"/>
          <w:szCs w:val="22"/>
          <w:lang w:val="en-GB"/>
        </w:rPr>
        <w:t>e</w:t>
      </w:r>
      <w:r w:rsidRPr="0026420C">
        <w:rPr>
          <w:rFonts w:ascii="Times New Roman" w:hAnsi="Times New Roman" w:cs="Times New Roman"/>
          <w:sz w:val="22"/>
          <w:szCs w:val="22"/>
          <w:lang w:val="en-GB"/>
        </w:rPr>
        <w:t xml:space="preserve"> = 2.72 fold: </w:t>
      </w:r>
      <w:r w:rsidRPr="0026420C">
        <w:rPr>
          <w:rFonts w:ascii="Times New Roman" w:hAnsi="Times New Roman" w:cs="Times New Roman"/>
          <w:b/>
          <w:sz w:val="22"/>
          <w:szCs w:val="22"/>
          <w:lang w:val="en-GB"/>
        </w:rPr>
        <w:t>(A × exp(1) × B  × C) + (1 - A  × exp(1)) × B</w:t>
      </w:r>
    </w:p>
    <w:p w14:paraId="30FF9050" w14:textId="5C6E6862" w:rsidR="0026420C" w:rsidRPr="00FB5850" w:rsidRDefault="00373CB0" w:rsidP="00373CB0">
      <w:pPr>
        <w:pStyle w:val="Sansinterligne"/>
        <w:numPr>
          <w:ilvl w:val="0"/>
          <w:numId w:val="3"/>
        </w:numPr>
        <w:spacing w:line="360" w:lineRule="auto"/>
        <w:jc w:val="both"/>
        <w:rPr>
          <w:rFonts w:ascii="Times New Roman" w:hAnsi="Times New Roman" w:cs="Times New Roman"/>
          <w:sz w:val="22"/>
          <w:szCs w:val="22"/>
          <w:lang w:val="en-GB"/>
        </w:rPr>
      </w:pPr>
      <w:r w:rsidRPr="0026420C">
        <w:rPr>
          <w:rFonts w:ascii="Times New Roman" w:hAnsi="Times New Roman" w:cs="Times New Roman"/>
          <w:sz w:val="22"/>
          <w:szCs w:val="22"/>
          <w:lang w:val="en-GB"/>
        </w:rPr>
        <w:t xml:space="preserve">Estimated odds ratio for </w:t>
      </w:r>
      <w:r w:rsidR="0026420C">
        <w:rPr>
          <w:rFonts w:ascii="Times New Roman" w:hAnsi="Times New Roman" w:cs="Times New Roman"/>
          <w:sz w:val="22"/>
          <w:szCs w:val="22"/>
          <w:lang w:val="en-GB"/>
        </w:rPr>
        <w:t xml:space="preserve">CAD and </w:t>
      </w:r>
      <w:r w:rsidR="00B30EA5">
        <w:rPr>
          <w:rFonts w:ascii="Times New Roman" w:hAnsi="Times New Roman" w:cs="Times New Roman"/>
          <w:sz w:val="22"/>
          <w:szCs w:val="22"/>
          <w:lang w:val="en-GB"/>
        </w:rPr>
        <w:t>IS</w:t>
      </w:r>
      <w:r w:rsidRPr="0026420C">
        <w:rPr>
          <w:rFonts w:ascii="Times New Roman" w:hAnsi="Times New Roman" w:cs="Times New Roman"/>
          <w:sz w:val="22"/>
          <w:szCs w:val="22"/>
          <w:lang w:val="en-GB"/>
        </w:rPr>
        <w:t xml:space="preserve"> per </w:t>
      </w:r>
      <w:r w:rsidRPr="0026420C">
        <w:rPr>
          <w:rFonts w:ascii="Times New Roman" w:hAnsi="Times New Roman" w:cs="Times New Roman"/>
          <w:i/>
          <w:sz w:val="22"/>
          <w:szCs w:val="22"/>
          <w:lang w:val="en-GB"/>
        </w:rPr>
        <w:t>e</w:t>
      </w:r>
      <w:r w:rsidRPr="0026420C">
        <w:rPr>
          <w:rFonts w:ascii="Times New Roman" w:hAnsi="Times New Roman" w:cs="Times New Roman"/>
          <w:sz w:val="22"/>
          <w:szCs w:val="22"/>
          <w:lang w:val="en-GB"/>
        </w:rPr>
        <w:t xml:space="preserve"> = 2.72 fold increase in risk of use of cannabis: </w:t>
      </w:r>
      <w:r w:rsidRPr="0026420C">
        <w:rPr>
          <w:rFonts w:ascii="Times New Roman" w:hAnsi="Times New Roman" w:cs="Times New Roman"/>
          <w:b/>
          <w:sz w:val="22"/>
          <w:szCs w:val="22"/>
          <w:lang w:val="en-GB"/>
        </w:rPr>
        <w:t>F/E</w:t>
      </w:r>
      <w:r w:rsidRPr="0026420C">
        <w:rPr>
          <w:rFonts w:ascii="Times New Roman" w:hAnsi="Times New Roman" w:cs="Times New Roman"/>
          <w:sz w:val="22"/>
          <w:szCs w:val="22"/>
          <w:lang w:val="en-GB"/>
        </w:rPr>
        <w:t xml:space="preserve"> </w:t>
      </w:r>
      <w:bookmarkStart w:id="10" w:name="_Toc99965960"/>
      <w:bookmarkStart w:id="11" w:name="_Toc99976078"/>
      <w:bookmarkStart w:id="12" w:name="_Toc105828548"/>
    </w:p>
    <w:p w14:paraId="575017B1" w14:textId="77777777" w:rsidR="00373CB0" w:rsidRPr="00373CB0" w:rsidRDefault="00373CB0" w:rsidP="00373CB0">
      <w:pPr>
        <w:pStyle w:val="Sansinterligne"/>
        <w:spacing w:line="360" w:lineRule="auto"/>
        <w:jc w:val="both"/>
        <w:rPr>
          <w:rFonts w:ascii="Times New Roman" w:hAnsi="Times New Roman" w:cs="Times New Roman"/>
          <w:sz w:val="22"/>
          <w:szCs w:val="22"/>
          <w:lang w:val="en-GB"/>
        </w:rPr>
      </w:pPr>
      <w:r w:rsidRPr="00373CB0">
        <w:rPr>
          <w:rFonts w:ascii="Times New Roman" w:hAnsi="Times New Roman" w:cs="Times New Roman"/>
          <w:sz w:val="22"/>
          <w:szCs w:val="22"/>
          <w:u w:val="single"/>
          <w:lang w:val="en-GB"/>
        </w:rPr>
        <w:t>It results that</w:t>
      </w:r>
      <w:r w:rsidRPr="00373CB0">
        <w:rPr>
          <w:rFonts w:ascii="Times New Roman" w:hAnsi="Times New Roman" w:cs="Times New Roman"/>
          <w:sz w:val="22"/>
          <w:szCs w:val="22"/>
          <w:lang w:val="en-GB"/>
        </w:rPr>
        <w:t>:</w:t>
      </w:r>
      <w:bookmarkEnd w:id="10"/>
      <w:bookmarkEnd w:id="11"/>
      <w:bookmarkEnd w:id="12"/>
    </w:p>
    <w:p w14:paraId="36A9B7D8" w14:textId="77777777" w:rsidR="00373CB0" w:rsidRDefault="0026420C" w:rsidP="0026420C">
      <w:pPr>
        <w:pStyle w:val="Sansinterligne"/>
        <w:numPr>
          <w:ilvl w:val="0"/>
          <w:numId w:val="3"/>
        </w:numPr>
        <w:spacing w:line="360" w:lineRule="auto"/>
        <w:jc w:val="both"/>
        <w:rPr>
          <w:rFonts w:ascii="Times New Roman" w:hAnsi="Times New Roman" w:cs="Times New Roman"/>
          <w:b/>
          <w:sz w:val="22"/>
          <w:szCs w:val="22"/>
          <w:lang w:val="en-GB"/>
        </w:rPr>
      </w:pPr>
      <m:oMath>
        <m:r>
          <m:rPr>
            <m:sty m:val="b"/>
          </m:rPr>
          <w:rPr>
            <w:rFonts w:ascii="Cambria Math" w:hAnsi="Cambria Math" w:cs="Times New Roman"/>
            <w:sz w:val="26"/>
            <w:szCs w:val="26"/>
            <w:lang w:val="en-GB"/>
          </w:rPr>
          <m:t>exp</m:t>
        </m:r>
        <m:d>
          <m:dPr>
            <m:ctrlPr>
              <w:rPr>
                <w:rFonts w:ascii="Cambria Math" w:hAnsi="Cambria Math" w:cs="Times New Roman"/>
                <w:b/>
                <w:sz w:val="26"/>
                <w:szCs w:val="26"/>
                <w:lang w:val="en-GB"/>
              </w:rPr>
            </m:ctrlPr>
          </m:dPr>
          <m:e>
            <m:r>
              <m:rPr>
                <m:sty m:val="b"/>
              </m:rPr>
              <w:rPr>
                <w:rFonts w:ascii="Cambria Math" w:hAnsi="Cambria Math" w:cs="Times New Roman"/>
                <w:sz w:val="26"/>
                <w:szCs w:val="26"/>
                <w:lang w:val="en-GB"/>
              </w:rPr>
              <m:t>D</m:t>
            </m:r>
          </m:e>
        </m:d>
        <m:r>
          <m:rPr>
            <m:sty m:val="b"/>
          </m:rPr>
          <w:rPr>
            <w:rFonts w:ascii="Cambria Math" w:hAnsi="Cambria Math" w:cs="Times New Roman"/>
            <w:sz w:val="26"/>
            <w:szCs w:val="26"/>
            <w:lang w:val="en-GB"/>
          </w:rPr>
          <m:t>= G =</m:t>
        </m:r>
        <m:f>
          <m:fPr>
            <m:ctrlPr>
              <w:rPr>
                <w:rFonts w:ascii="Cambria Math" w:hAnsi="Cambria Math" w:cs="Times New Roman"/>
                <w:b/>
                <w:sz w:val="26"/>
                <w:szCs w:val="26"/>
                <w:lang w:val="en-GB"/>
              </w:rPr>
            </m:ctrlPr>
          </m:fPr>
          <m:num>
            <m:r>
              <m:rPr>
                <m:sty m:val="bi"/>
              </m:rPr>
              <w:rPr>
                <w:rFonts w:ascii="Cambria Math" w:hAnsi="Cambria Math" w:cs="Times New Roman"/>
                <w:sz w:val="26"/>
                <w:szCs w:val="26"/>
                <w:lang w:val="en-GB"/>
              </w:rPr>
              <m:t>F</m:t>
            </m:r>
          </m:num>
          <m:den>
            <m:r>
              <m:rPr>
                <m:sty m:val="bi"/>
              </m:rPr>
              <w:rPr>
                <w:rFonts w:ascii="Cambria Math" w:hAnsi="Cambria Math" w:cs="Times New Roman"/>
                <w:sz w:val="26"/>
                <w:szCs w:val="26"/>
                <w:lang w:val="en-GB"/>
              </w:rPr>
              <m:t>E</m:t>
            </m:r>
          </m:den>
        </m:f>
        <m:r>
          <m:rPr>
            <m:sty m:val="b"/>
          </m:rPr>
          <w:rPr>
            <w:rFonts w:ascii="Cambria Math" w:hAnsi="Cambria Math" w:cs="Times New Roman"/>
            <w:sz w:val="26"/>
            <w:szCs w:val="26"/>
            <w:lang w:val="en-GB"/>
          </w:rPr>
          <m:t>=</m:t>
        </m:r>
        <m:f>
          <m:fPr>
            <m:ctrlPr>
              <w:rPr>
                <w:rFonts w:ascii="Cambria Math" w:hAnsi="Cambria Math" w:cs="Times New Roman"/>
                <w:b/>
                <w:sz w:val="26"/>
                <w:szCs w:val="26"/>
                <w:lang w:val="en-GB"/>
              </w:rPr>
            </m:ctrlPr>
          </m:fPr>
          <m:num>
            <m:r>
              <m:rPr>
                <m:sty m:val="b"/>
              </m:rPr>
              <w:rPr>
                <w:rFonts w:ascii="Cambria Math" w:hAnsi="Cambria Math" w:cs="Times New Roman"/>
                <w:sz w:val="26"/>
                <w:szCs w:val="26"/>
                <w:lang w:val="en-GB"/>
              </w:rPr>
              <m:t xml:space="preserve"> (A  × exp(1) × B  × C) + (1 - A  × exp(1)) × B</m:t>
            </m:r>
          </m:num>
          <m:den>
            <m:d>
              <m:dPr>
                <m:ctrlPr>
                  <w:rPr>
                    <w:rFonts w:ascii="Cambria Math" w:hAnsi="Cambria Math" w:cs="Times New Roman"/>
                    <w:b/>
                    <w:sz w:val="26"/>
                    <w:szCs w:val="26"/>
                    <w:lang w:val="en-GB"/>
                  </w:rPr>
                </m:ctrlPr>
              </m:dPr>
              <m:e>
                <m:r>
                  <m:rPr>
                    <m:sty m:val="b"/>
                  </m:rPr>
                  <w:rPr>
                    <w:rFonts w:ascii="Cambria Math" w:hAnsi="Cambria Math" w:cs="Times New Roman"/>
                    <w:sz w:val="26"/>
                    <w:szCs w:val="26"/>
                    <w:lang w:val="en-GB"/>
                  </w:rPr>
                  <m:t>A × B × C</m:t>
                </m:r>
              </m:e>
            </m:d>
            <m:r>
              <m:rPr>
                <m:sty m:val="b"/>
              </m:rPr>
              <w:rPr>
                <w:rFonts w:ascii="Cambria Math" w:hAnsi="Cambria Math" w:cs="Times New Roman"/>
                <w:sz w:val="26"/>
                <w:szCs w:val="26"/>
                <w:lang w:val="en-GB"/>
              </w:rPr>
              <m:t xml:space="preserve">+ </m:t>
            </m:r>
            <m:d>
              <m:dPr>
                <m:ctrlPr>
                  <w:rPr>
                    <w:rFonts w:ascii="Cambria Math" w:hAnsi="Cambria Math" w:cs="Times New Roman"/>
                    <w:b/>
                    <w:sz w:val="26"/>
                    <w:szCs w:val="26"/>
                    <w:lang w:val="en-GB"/>
                  </w:rPr>
                </m:ctrlPr>
              </m:dPr>
              <m:e>
                <m:r>
                  <m:rPr>
                    <m:sty m:val="b"/>
                  </m:rPr>
                  <w:rPr>
                    <w:rFonts w:ascii="Cambria Math" w:hAnsi="Cambria Math" w:cs="Times New Roman"/>
                    <w:sz w:val="26"/>
                    <w:szCs w:val="26"/>
                    <w:lang w:val="en-GB"/>
                  </w:rPr>
                  <m:t>1 - A</m:t>
                </m:r>
              </m:e>
            </m:d>
            <m:r>
              <m:rPr>
                <m:sty m:val="b"/>
              </m:rPr>
              <w:rPr>
                <w:rFonts w:ascii="Cambria Math" w:hAnsi="Cambria Math" w:cs="Times New Roman"/>
                <w:sz w:val="26"/>
                <w:szCs w:val="26"/>
                <w:lang w:val="en-GB"/>
              </w:rPr>
              <m:t xml:space="preserve"> × B</m:t>
            </m:r>
          </m:den>
        </m:f>
        <m:r>
          <m:rPr>
            <m:sty m:val="b"/>
          </m:rPr>
          <w:rPr>
            <w:rFonts w:ascii="Cambria Math" w:hAnsi="Cambria Math" w:cs="Times New Roman"/>
            <w:sz w:val="26"/>
            <w:szCs w:val="26"/>
            <w:lang w:val="en-GB"/>
          </w:rPr>
          <m:t xml:space="preserve"> </m:t>
        </m:r>
      </m:oMath>
    </w:p>
    <w:p w14:paraId="27FEAB71" w14:textId="77777777" w:rsidR="0026420C" w:rsidRPr="0026420C" w:rsidRDefault="0026420C" w:rsidP="00CA33A7">
      <w:pPr>
        <w:pStyle w:val="Sansinterligne"/>
        <w:spacing w:line="360" w:lineRule="auto"/>
        <w:ind w:firstLine="340"/>
        <w:jc w:val="both"/>
        <w:rPr>
          <w:rFonts w:ascii="Times New Roman" w:hAnsi="Times New Roman" w:cs="Times New Roman"/>
          <w:sz w:val="22"/>
          <w:szCs w:val="22"/>
          <w:lang w:val="en-GB"/>
        </w:rPr>
      </w:pPr>
      <w:r w:rsidRPr="00373CB0">
        <w:rPr>
          <w:rFonts w:ascii="Times New Roman" w:hAnsi="Times New Roman" w:cs="Times New Roman"/>
          <w:sz w:val="22"/>
          <w:szCs w:val="22"/>
          <w:lang w:val="en-GB"/>
        </w:rPr>
        <w:t>As C is the only unknown variable, the association between genetically determined use of cannabis (cannabis users vs. non-users) and risk of ASCVD (expressed as an odds ratio) at the population level can be calculated using algebraic transformations and (H) can be simplified into:</w:t>
      </w:r>
    </w:p>
    <w:p w14:paraId="7003DCF3" w14:textId="77777777" w:rsidR="0026420C" w:rsidRPr="0026420C" w:rsidRDefault="0026420C" w:rsidP="0026420C">
      <w:pPr>
        <w:pStyle w:val="Sansinterligne"/>
        <w:numPr>
          <w:ilvl w:val="0"/>
          <w:numId w:val="3"/>
        </w:numPr>
        <w:spacing w:line="360" w:lineRule="auto"/>
        <w:jc w:val="both"/>
        <w:rPr>
          <w:rFonts w:ascii="Times New Roman" w:hAnsi="Times New Roman" w:cs="Times New Roman"/>
          <w:b/>
          <w:sz w:val="22"/>
          <w:szCs w:val="22"/>
          <w:lang w:val="it-IT"/>
        </w:rPr>
      </w:pPr>
      <m:oMath>
        <m:r>
          <m:rPr>
            <m:sty m:val="b"/>
          </m:rPr>
          <w:rPr>
            <w:rFonts w:ascii="Cambria Math" w:hAnsi="Cambria Math" w:cs="Times New Roman"/>
            <w:sz w:val="26"/>
            <w:szCs w:val="26"/>
            <w:lang w:val="en-GB"/>
          </w:rPr>
          <m:t>C</m:t>
        </m:r>
        <m:r>
          <m:rPr>
            <m:sty m:val="b"/>
          </m:rPr>
          <w:rPr>
            <w:rFonts w:ascii="Cambria Math" w:hAnsi="Cambria Math" w:cs="Times New Roman"/>
            <w:sz w:val="26"/>
            <w:szCs w:val="26"/>
            <w:lang w:val="en-US"/>
          </w:rPr>
          <m:t>=</m:t>
        </m:r>
        <m:r>
          <m:rPr>
            <m:sty m:val="b"/>
          </m:rPr>
          <w:rPr>
            <w:rFonts w:ascii="Cambria Math" w:hAnsi="Cambria Math" w:cs="Times New Roman"/>
            <w:sz w:val="26"/>
            <w:szCs w:val="26"/>
            <w:lang w:val="en-GB"/>
          </w:rPr>
          <m:t>1</m:t>
        </m:r>
        <m:r>
          <m:rPr>
            <m:sty m:val="b"/>
          </m:rPr>
          <w:rPr>
            <w:rFonts w:ascii="Cambria Math" w:hAnsi="Cambria Math" w:cs="Times New Roman"/>
            <w:sz w:val="26"/>
            <w:szCs w:val="26"/>
            <w:lang w:val="en-US"/>
          </w:rPr>
          <m:t>+</m:t>
        </m:r>
        <m:f>
          <m:fPr>
            <m:ctrlPr>
              <w:rPr>
                <w:rFonts w:ascii="Cambria Math" w:hAnsi="Cambria Math" w:cs="Times New Roman"/>
                <w:b/>
                <w:sz w:val="26"/>
                <w:szCs w:val="26"/>
                <w:lang w:val="en-GB"/>
              </w:rPr>
            </m:ctrlPr>
          </m:fPr>
          <m:num>
            <m:r>
              <m:rPr>
                <m:sty m:val="b"/>
              </m:rPr>
              <w:rPr>
                <w:rFonts w:ascii="Cambria Math" w:hAnsi="Cambria Math" w:cs="Times New Roman"/>
                <w:sz w:val="26"/>
                <w:szCs w:val="26"/>
                <w:lang w:val="en-US"/>
              </w:rPr>
              <m:t xml:space="preserve"> (</m:t>
            </m:r>
            <m:r>
              <m:rPr>
                <m:sty m:val="b"/>
              </m:rPr>
              <w:rPr>
                <w:rFonts w:ascii="Cambria Math" w:hAnsi="Cambria Math" w:cs="Times New Roman"/>
                <w:sz w:val="26"/>
                <w:szCs w:val="26"/>
                <w:lang w:val="en-GB"/>
              </w:rPr>
              <m:t>1</m:t>
            </m:r>
            <m:r>
              <m:rPr>
                <m:sty m:val="b"/>
              </m:rPr>
              <w:rPr>
                <w:rFonts w:ascii="Cambria Math" w:hAnsi="Cambria Math" w:cs="Times New Roman"/>
                <w:sz w:val="26"/>
                <w:szCs w:val="26"/>
                <w:lang w:val="en-US"/>
              </w:rPr>
              <m:t>-</m:t>
            </m:r>
            <m:func>
              <m:funcPr>
                <m:ctrlPr>
                  <w:rPr>
                    <w:rFonts w:ascii="Cambria Math" w:hAnsi="Cambria Math" w:cs="Times New Roman"/>
                    <w:b/>
                    <w:sz w:val="26"/>
                    <w:szCs w:val="26"/>
                    <w:lang w:val="en-GB"/>
                  </w:rPr>
                </m:ctrlPr>
              </m:funcPr>
              <m:fName>
                <m:r>
                  <m:rPr>
                    <m:sty m:val="b"/>
                  </m:rPr>
                  <w:rPr>
                    <w:rFonts w:ascii="Cambria Math" w:hAnsi="Cambria Math" w:cs="Times New Roman"/>
                    <w:sz w:val="26"/>
                    <w:szCs w:val="26"/>
                    <w:lang w:val="en-GB"/>
                  </w:rPr>
                  <m:t>exp</m:t>
                </m:r>
              </m:fName>
              <m:e>
                <m:d>
                  <m:dPr>
                    <m:ctrlPr>
                      <w:rPr>
                        <w:rFonts w:ascii="Cambria Math" w:hAnsi="Cambria Math" w:cs="Times New Roman"/>
                        <w:b/>
                        <w:sz w:val="26"/>
                        <w:szCs w:val="26"/>
                        <w:lang w:val="en-GB"/>
                      </w:rPr>
                    </m:ctrlPr>
                  </m:dPr>
                  <m:e>
                    <m:r>
                      <m:rPr>
                        <m:sty m:val="b"/>
                      </m:rPr>
                      <w:rPr>
                        <w:rFonts w:ascii="Cambria Math" w:hAnsi="Cambria Math" w:cs="Times New Roman"/>
                        <w:sz w:val="26"/>
                        <w:szCs w:val="26"/>
                        <w:lang w:val="en-GB"/>
                      </w:rPr>
                      <m:t>D</m:t>
                    </m:r>
                  </m:e>
                </m:d>
              </m:e>
            </m:func>
            <m:r>
              <m:rPr>
                <m:sty m:val="b"/>
              </m:rPr>
              <w:rPr>
                <w:rFonts w:ascii="Cambria Math" w:hAnsi="Cambria Math" w:cs="Times New Roman"/>
                <w:sz w:val="26"/>
                <w:szCs w:val="26"/>
                <w:lang w:val="it-IT"/>
              </w:rPr>
              <m:t xml:space="preserve">)  </m:t>
            </m:r>
          </m:num>
          <m:den>
            <m:d>
              <m:dPr>
                <m:ctrlPr>
                  <w:rPr>
                    <w:rFonts w:ascii="Cambria Math" w:hAnsi="Cambria Math" w:cs="Times New Roman"/>
                    <w:b/>
                    <w:sz w:val="26"/>
                    <w:szCs w:val="26"/>
                    <w:lang w:val="en-GB"/>
                  </w:rPr>
                </m:ctrlPr>
              </m:dPr>
              <m:e>
                <m:r>
                  <m:rPr>
                    <m:sty m:val="b"/>
                  </m:rPr>
                  <w:rPr>
                    <w:rFonts w:ascii="Cambria Math" w:hAnsi="Cambria Math" w:cs="Times New Roman"/>
                    <w:sz w:val="26"/>
                    <w:szCs w:val="26"/>
                    <w:lang w:val="en-GB"/>
                  </w:rPr>
                  <m:t>ex</m:t>
                </m:r>
                <m:func>
                  <m:funcPr>
                    <m:ctrlPr>
                      <w:rPr>
                        <w:rFonts w:ascii="Cambria Math" w:hAnsi="Cambria Math" w:cs="Times New Roman"/>
                        <w:b/>
                        <w:sz w:val="26"/>
                        <w:szCs w:val="26"/>
                        <w:lang w:val="en-GB"/>
                      </w:rPr>
                    </m:ctrlPr>
                  </m:funcPr>
                  <m:fName>
                    <m:r>
                      <m:rPr>
                        <m:sty m:val="b"/>
                      </m:rPr>
                      <w:rPr>
                        <w:rFonts w:ascii="Cambria Math" w:hAnsi="Cambria Math" w:cs="Times New Roman"/>
                        <w:sz w:val="26"/>
                        <w:szCs w:val="26"/>
                        <w:lang w:val="en-GB"/>
                      </w:rPr>
                      <m:t>p</m:t>
                    </m:r>
                  </m:fName>
                  <m:e>
                    <m:d>
                      <m:dPr>
                        <m:ctrlPr>
                          <w:rPr>
                            <w:rFonts w:ascii="Cambria Math" w:hAnsi="Cambria Math" w:cs="Times New Roman"/>
                            <w:b/>
                            <w:sz w:val="26"/>
                            <w:szCs w:val="26"/>
                            <w:lang w:val="en-GB"/>
                          </w:rPr>
                        </m:ctrlPr>
                      </m:dPr>
                      <m:e>
                        <m:r>
                          <m:rPr>
                            <m:sty m:val="b"/>
                          </m:rPr>
                          <w:rPr>
                            <w:rFonts w:ascii="Cambria Math" w:hAnsi="Cambria Math" w:cs="Times New Roman"/>
                            <w:sz w:val="26"/>
                            <w:szCs w:val="26"/>
                            <w:lang w:val="en-GB"/>
                          </w:rPr>
                          <m:t>D</m:t>
                        </m:r>
                      </m:e>
                    </m:d>
                    <m:r>
                      <m:rPr>
                        <m:sty m:val="bi"/>
                      </m:rPr>
                      <w:rPr>
                        <w:rFonts w:ascii="Cambria Math" w:hAnsi="Cambria Math" w:cs="Times New Roman"/>
                        <w:sz w:val="26"/>
                        <w:szCs w:val="26"/>
                        <w:lang w:val="it-IT"/>
                      </w:rPr>
                      <m:t xml:space="preserve"> </m:t>
                    </m:r>
                  </m:e>
                </m:func>
                <m:r>
                  <m:rPr>
                    <m:sty m:val="b"/>
                  </m:rPr>
                  <w:rPr>
                    <w:rFonts w:ascii="Cambria Math" w:hAnsi="Cambria Math" w:cs="Times New Roman"/>
                    <w:sz w:val="26"/>
                    <w:szCs w:val="26"/>
                    <w:lang w:val="it-IT"/>
                  </w:rPr>
                  <m:t xml:space="preserve">- </m:t>
                </m:r>
                <m:func>
                  <m:funcPr>
                    <m:ctrlPr>
                      <w:rPr>
                        <w:rFonts w:ascii="Cambria Math" w:hAnsi="Cambria Math" w:cs="Times New Roman"/>
                        <w:b/>
                        <w:sz w:val="26"/>
                        <w:szCs w:val="26"/>
                        <w:lang w:val="en-GB"/>
                      </w:rPr>
                    </m:ctrlPr>
                  </m:funcPr>
                  <m:fName>
                    <m:r>
                      <m:rPr>
                        <m:sty m:val="b"/>
                      </m:rPr>
                      <w:rPr>
                        <w:rFonts w:ascii="Cambria Math" w:hAnsi="Cambria Math" w:cs="Times New Roman"/>
                        <w:sz w:val="26"/>
                        <w:szCs w:val="26"/>
                        <w:lang w:val="en-GB"/>
                      </w:rPr>
                      <m:t>exp</m:t>
                    </m:r>
                  </m:fName>
                  <m:e>
                    <m:d>
                      <m:dPr>
                        <m:ctrlPr>
                          <w:rPr>
                            <w:rFonts w:ascii="Cambria Math" w:hAnsi="Cambria Math" w:cs="Times New Roman"/>
                            <w:b/>
                            <w:sz w:val="26"/>
                            <w:szCs w:val="26"/>
                            <w:lang w:val="en-GB"/>
                          </w:rPr>
                        </m:ctrlPr>
                      </m:dPr>
                      <m:e>
                        <m:r>
                          <m:rPr>
                            <m:sty m:val="b"/>
                          </m:rPr>
                          <w:rPr>
                            <w:rFonts w:ascii="Cambria Math" w:hAnsi="Cambria Math" w:cs="Times New Roman"/>
                            <w:sz w:val="26"/>
                            <w:szCs w:val="26"/>
                            <w:lang w:val="en-GB"/>
                          </w:rPr>
                          <m:t>1</m:t>
                        </m:r>
                      </m:e>
                    </m:d>
                  </m:e>
                </m:func>
              </m:e>
            </m:d>
            <m:r>
              <m:rPr>
                <m:sty m:val="b"/>
              </m:rPr>
              <w:rPr>
                <w:rFonts w:ascii="Cambria Math" w:hAnsi="Cambria Math" w:cs="Times New Roman"/>
                <w:sz w:val="26"/>
                <w:szCs w:val="26"/>
                <w:lang w:val="it-IT"/>
              </w:rPr>
              <m:t xml:space="preserve"> × </m:t>
            </m:r>
            <m:r>
              <m:rPr>
                <m:sty m:val="b"/>
              </m:rPr>
              <w:rPr>
                <w:rFonts w:ascii="Cambria Math" w:hAnsi="Cambria Math" w:cs="Times New Roman"/>
                <w:sz w:val="26"/>
                <w:szCs w:val="26"/>
                <w:lang w:val="en-GB"/>
              </w:rPr>
              <m:t>A)</m:t>
            </m:r>
          </m:den>
        </m:f>
      </m:oMath>
    </w:p>
    <w:p w14:paraId="5F403A61" w14:textId="77777777" w:rsidR="00373CB0" w:rsidRPr="0026420C" w:rsidRDefault="00373CB0" w:rsidP="00373CB0">
      <w:pPr>
        <w:pStyle w:val="Sansinterligne"/>
        <w:spacing w:line="360" w:lineRule="auto"/>
        <w:jc w:val="both"/>
        <w:rPr>
          <w:rFonts w:ascii="Times New Roman" w:hAnsi="Times New Roman" w:cs="Times New Roman"/>
          <w:i/>
          <w:sz w:val="22"/>
          <w:szCs w:val="22"/>
          <w:lang w:val="en-US"/>
        </w:rPr>
      </w:pPr>
    </w:p>
    <w:p w14:paraId="3E0C8EDA" w14:textId="77777777" w:rsidR="00CA33A7" w:rsidRPr="003D2EED" w:rsidRDefault="00CA33A7" w:rsidP="00373CB0">
      <w:pPr>
        <w:pStyle w:val="Sansinterligne"/>
        <w:spacing w:line="360" w:lineRule="auto"/>
        <w:jc w:val="both"/>
        <w:rPr>
          <w:rFonts w:ascii="Times New Roman" w:hAnsi="Times New Roman" w:cs="Times New Roman"/>
          <w:b/>
          <w:sz w:val="22"/>
          <w:szCs w:val="22"/>
          <w:lang w:val="en-GB"/>
        </w:rPr>
      </w:pPr>
      <w:bookmarkStart w:id="13" w:name="_Toc99976075"/>
      <w:bookmarkStart w:id="14" w:name="_Toc105828545"/>
      <w:bookmarkStart w:id="15" w:name="_Toc99965957"/>
      <w:r w:rsidRPr="003D2EED">
        <w:rPr>
          <w:rFonts w:ascii="Times New Roman" w:hAnsi="Times New Roman" w:cs="Times New Roman"/>
          <w:b/>
          <w:sz w:val="22"/>
          <w:szCs w:val="22"/>
          <w:lang w:val="en-GB"/>
        </w:rPr>
        <w:t xml:space="preserve">Variance and F-statistic calculation for each SNP and cumulatively </w:t>
      </w:r>
      <w:bookmarkEnd w:id="13"/>
      <w:bookmarkEnd w:id="14"/>
      <w:bookmarkEnd w:id="15"/>
    </w:p>
    <w:p w14:paraId="02D12574" w14:textId="6F8EDF34" w:rsidR="00373CB0" w:rsidRDefault="00373CB0" w:rsidP="00CA33A7">
      <w:pPr>
        <w:pStyle w:val="Sansinterligne"/>
        <w:spacing w:line="360" w:lineRule="auto"/>
        <w:ind w:firstLine="340"/>
        <w:jc w:val="both"/>
        <w:rPr>
          <w:rFonts w:ascii="Times New Roman" w:hAnsi="Times New Roman" w:cs="Times New Roman"/>
          <w:sz w:val="22"/>
          <w:szCs w:val="22"/>
          <w:lang w:val="en-GB"/>
        </w:rPr>
      </w:pPr>
      <w:r w:rsidRPr="00373CB0">
        <w:rPr>
          <w:rFonts w:ascii="Times New Roman" w:hAnsi="Times New Roman" w:cs="Times New Roman"/>
          <w:sz w:val="22"/>
          <w:szCs w:val="22"/>
          <w:lang w:val="en-GB"/>
        </w:rPr>
        <w:t>The proportion of variance (conceptually similar to the R</w:t>
      </w:r>
      <w:r w:rsidRPr="00373CB0">
        <w:rPr>
          <w:rFonts w:ascii="Times New Roman" w:hAnsi="Times New Roman" w:cs="Times New Roman"/>
          <w:sz w:val="22"/>
          <w:szCs w:val="22"/>
          <w:vertAlign w:val="superscript"/>
          <w:lang w:val="en-GB"/>
        </w:rPr>
        <w:t>2</w:t>
      </w:r>
      <w:r w:rsidRPr="00373CB0">
        <w:rPr>
          <w:rFonts w:ascii="Times New Roman" w:hAnsi="Times New Roman" w:cs="Times New Roman"/>
          <w:sz w:val="22"/>
          <w:szCs w:val="22"/>
          <w:lang w:val="en-GB"/>
        </w:rPr>
        <w:t xml:space="preserve">) in use of cannabis was computed for each SNP based </w:t>
      </w:r>
      <w:r w:rsidR="006B4278">
        <w:rPr>
          <w:rFonts w:ascii="Times New Roman" w:hAnsi="Times New Roman" w:cs="Times New Roman"/>
          <w:sz w:val="22"/>
          <w:szCs w:val="22"/>
          <w:lang w:val="en-GB"/>
        </w:rPr>
        <w:t>on the formula provided by Shim et al</w:t>
      </w:r>
      <w:r w:rsidRPr="00373CB0">
        <w:rPr>
          <w:rFonts w:ascii="Times New Roman" w:hAnsi="Times New Roman" w:cs="Times New Roman"/>
          <w:sz w:val="22"/>
          <w:szCs w:val="22"/>
          <w:lang w:val="en-GB"/>
        </w:rPr>
        <w:t>.</w:t>
      </w:r>
      <w:r w:rsidR="00207537">
        <w:rPr>
          <w:rFonts w:ascii="Times New Roman" w:hAnsi="Times New Roman" w:cs="Times New Roman"/>
          <w:sz w:val="22"/>
          <w:szCs w:val="22"/>
          <w:lang w:val="en-GB"/>
        </w:rPr>
        <w:fldChar w:fldCharType="begin"/>
      </w:r>
      <w:r w:rsidR="00B30573">
        <w:rPr>
          <w:rFonts w:ascii="Times New Roman" w:hAnsi="Times New Roman" w:cs="Times New Roman"/>
          <w:sz w:val="22"/>
          <w:szCs w:val="22"/>
          <w:lang w:val="en-GB"/>
        </w:rPr>
        <w:instrText xml:space="preserve"> ADDIN ZOTERO_ITEM CSL_CITATION {"citationID":"ImmEQ67o","properties":{"formattedCitation":"[4]","plainCitation":"[4]","noteIndex":0},"citationItems":[{"id":327,"uris":["http://zotero.org/users/local/zfL9pym4/items/ABST5NRY"],"itemData":{"id":327,"type":"article-journal","abstract":"We conducted a genome-wide association analysis of 7 subfractions of low density lipoproteins (LDLs) and 3 subfractions of intermediate density lipoproteins (IDLs) measured by gradient gel electrophoresis, and their response to statin treatment, in 1868 individuals of European ancestry from the Pharmacogenomics and Risk of Cardiovascular Disease study. Our analyses identified four previously-implicated loci (SORT1, APOE, LPA, and CETP) as containing variants that are very strongly associated with lipoprotein subfractions (log(10)Bayes Factor &gt; 15). Subsequent conditional analyses suggest that three of these (APOE, LPA and CETP) likely harbor multiple independently associated SNPs. Further, while different variants typically showed different characteristic patterns of association with combinations of subfractions, the two SNPs in CETP show strikingly similar patterns--both in our original data and in a replication cohort--consistent with a common underlying molecular mechanism. Notably, the CETP variants are very strongly associated with LDL subfractions, despite showing no association with total LDLs in our study, illustrating the potential value of the more detailed phenotypic measurements. In contrast with these strong subfraction associations, genetic association analysis of subfraction response to statins showed much weaker signals (none exceeding log(10)Bayes Factor of 6). However, two SNPs (in APOE and LPA) previously-reported to be associated with LDL statin response do show some modest evidence for association in our data, and the subfraction response proles at the LPA SNP are consistent with the LPA association, with response likely being due primarily to resistance of Lp(a) particles to statin therapy. An additional important feature of our analysis is that, unlike most previous analyses of multiple related phenotypes, we analyzed the subfractions jointly, rather than one at a time. Comparisons of our multivariate analyses with standard univariate analyses demonstrate that multivariate analyses can substantially increase power to detect associations. Software implementing our multivariate analysis methods is available at http://stephenslab.uchicago.edu/software.html.","container-title":"PloS One","DOI":"10.1371/journal.pone.0120758","ISSN":"1932-6203","issue":"4","journalAbbreviation":"PLoS One","language":"eng","note":"number: 4\nPMID: 25898129\nPMCID: PMC4405269","page":"e0120758","source":"PubMed","title":"A multivariate genome-wide association analysis of 10 LDL subfractions, and their response to statin treatment, in 1868 Caucasians","volume":"10","author":[{"family":"Shim","given":"Heejung"},{"family":"Chasman","given":"Daniel I."},{"family":"Smith","given":"Joshua D."},{"family":"Mora","given":"Samia"},{"family":"Ridker","given":"Paul M."},{"family":"Nickerson","given":"Deborah A."},{"family":"Krauss","given":"Ronald M."},{"family":"Stephens","given":"Matthew"}],"issued":{"date-parts":[["2015"]]}}}],"schema":"https://github.com/citation-style-language/schema/raw/master/csl-citation.json"} </w:instrText>
      </w:r>
      <w:r w:rsidR="00207537">
        <w:rPr>
          <w:rFonts w:ascii="Times New Roman" w:hAnsi="Times New Roman" w:cs="Times New Roman"/>
          <w:sz w:val="22"/>
          <w:szCs w:val="22"/>
          <w:lang w:val="en-GB"/>
        </w:rPr>
        <w:fldChar w:fldCharType="separate"/>
      </w:r>
      <w:r w:rsidR="00B30573" w:rsidRPr="00B30573">
        <w:rPr>
          <w:rFonts w:ascii="Times New Roman" w:hAnsi="Times New Roman" w:cs="Times New Roman"/>
          <w:sz w:val="22"/>
          <w:lang w:val="en-US"/>
        </w:rPr>
        <w:t>[4]</w:t>
      </w:r>
      <w:r w:rsidR="00207537">
        <w:rPr>
          <w:rFonts w:ascii="Times New Roman" w:hAnsi="Times New Roman" w:cs="Times New Roman"/>
          <w:sz w:val="22"/>
          <w:szCs w:val="22"/>
          <w:lang w:val="en-GB"/>
        </w:rPr>
        <w:fldChar w:fldCharType="end"/>
      </w:r>
      <w:r w:rsidRPr="00373CB0">
        <w:rPr>
          <w:rFonts w:ascii="Times New Roman" w:hAnsi="Times New Roman" w:cs="Times New Roman"/>
          <w:sz w:val="22"/>
          <w:szCs w:val="22"/>
          <w:lang w:val="en-GB"/>
        </w:rPr>
        <w:t xml:space="preserve"> </w:t>
      </w:r>
    </w:p>
    <w:p w14:paraId="2C9687F7" w14:textId="77224DBD" w:rsidR="00CA33A7" w:rsidRPr="001B4B09" w:rsidRDefault="00B30977" w:rsidP="00CA33A7">
      <w:pPr>
        <w:pStyle w:val="Sansinterligne"/>
        <w:spacing w:line="360" w:lineRule="auto"/>
        <w:ind w:firstLine="340"/>
        <w:jc w:val="both"/>
        <w:rPr>
          <w:rFonts w:ascii="Cambria Math" w:hAnsi="Cambria Math" w:cs="Times New Roman"/>
          <w:i/>
          <w:sz w:val="22"/>
          <w:szCs w:val="22"/>
          <w:lang w:val="en-GB"/>
        </w:rPr>
      </w:pPr>
      <m:oMathPara>
        <m:oMath>
          <m:r>
            <m:rPr>
              <m:sty m:val="bi"/>
            </m:rPr>
            <w:rPr>
              <w:rFonts w:ascii="Cambria Math" w:hAnsi="Cambria Math" w:cs="Times New Roman"/>
              <w:sz w:val="22"/>
              <w:szCs w:val="22"/>
              <w:lang w:val="en-GB"/>
            </w:rPr>
            <m:t>R</m:t>
          </m:r>
          <m:r>
            <m:rPr>
              <m:sty m:val="b"/>
            </m:rPr>
            <w:rPr>
              <w:rFonts w:ascii="Cambria Math" w:hAnsi="Cambria Math" w:cs="Times New Roman"/>
              <w:spacing w:val="10"/>
              <w:w w:val="99"/>
              <w:position w:val="6"/>
              <w:sz w:val="22"/>
              <w:szCs w:val="22"/>
              <w:lang w:val="en-GB"/>
            </w:rPr>
            <m:t>2</m:t>
          </m:r>
          <m:r>
            <m:rPr>
              <m:sty m:val="b"/>
            </m:rPr>
            <w:rPr>
              <w:rFonts w:ascii="Cambria Math" w:hAnsi="Cambria Math" w:cs="Times New Roman"/>
              <w:sz w:val="22"/>
              <w:szCs w:val="22"/>
              <w:lang w:val="en-GB"/>
            </w:rPr>
            <m:t>=</m:t>
          </m:r>
          <m:f>
            <m:fPr>
              <m:ctrlPr>
                <w:rPr>
                  <w:rFonts w:ascii="Cambria Math" w:hAnsi="Cambria Math" w:cs="Times New Roman"/>
                  <w:b/>
                  <w:sz w:val="22"/>
                  <w:szCs w:val="22"/>
                  <w:lang w:val="en-GB"/>
                </w:rPr>
              </m:ctrlPr>
            </m:fPr>
            <m:num>
              <m:eqArr>
                <m:eqArrPr>
                  <m:ctrlPr>
                    <w:rPr>
                      <w:rFonts w:ascii="Cambria Math" w:hAnsi="Cambria Math" w:cs="Times New Roman"/>
                      <w:b/>
                      <w:w w:val="106"/>
                      <w:sz w:val="22"/>
                      <w:szCs w:val="22"/>
                      <w:lang w:val="en-GB"/>
                    </w:rPr>
                  </m:ctrlPr>
                </m:eqArrPr>
                <m:e>
                  <m:r>
                    <m:rPr>
                      <m:nor/>
                    </m:rPr>
                    <w:rPr>
                      <w:rFonts w:ascii="Cambria Math" w:hAnsi="Cambria Math" w:cs="Times New Roman"/>
                      <w:b/>
                      <w:w w:val="106"/>
                      <w:sz w:val="22"/>
                      <w:szCs w:val="22"/>
                      <w:lang w:val="en-GB"/>
                    </w:rPr>
                    <m:t>2</m:t>
                  </m:r>
                  <m:r>
                    <m:rPr>
                      <m:nor/>
                    </m:rPr>
                    <w:rPr>
                      <w:rFonts w:ascii="Cambria Math" w:hAnsi="Cambria Math" w:cs="Times New Roman"/>
                      <w:b/>
                      <w:spacing w:val="-85"/>
                      <w:w w:val="98"/>
                      <w:sz w:val="22"/>
                      <w:szCs w:val="22"/>
                      <w:lang w:val="en-GB"/>
                    </w:rPr>
                    <m:t>β</m:t>
                  </m:r>
                  <m:r>
                    <m:rPr>
                      <m:nor/>
                    </m:rPr>
                    <w:rPr>
                      <w:rFonts w:ascii="Cambria Math" w:hAnsi="Cambria Math" w:cs="Times New Roman"/>
                      <w:b/>
                      <w:spacing w:val="10"/>
                      <w:w w:val="99"/>
                      <w:position w:val="6"/>
                      <w:sz w:val="16"/>
                      <w:szCs w:val="16"/>
                      <w:lang w:val="en-GB"/>
                    </w:rPr>
                    <m:t>2</m:t>
                  </m:r>
                  <m:r>
                    <m:rPr>
                      <m:nor/>
                    </m:rPr>
                    <w:rPr>
                      <w:rFonts w:ascii="Cambria Math" w:hAnsi="Cambria Math" w:cs="Times New Roman"/>
                      <w:b/>
                      <w:spacing w:val="10"/>
                      <w:w w:val="99"/>
                      <w:position w:val="6"/>
                      <w:sz w:val="22"/>
                      <w:szCs w:val="22"/>
                      <w:lang w:val="en-GB"/>
                    </w:rPr>
                    <m:t xml:space="preserve"> </m:t>
                  </m:r>
                  <m:r>
                    <m:rPr>
                      <m:nor/>
                    </m:rPr>
                    <w:rPr>
                      <w:rFonts w:ascii="Cambria Math" w:hAnsi="Cambria Math" w:cs="Times New Roman"/>
                      <w:b/>
                      <w:w w:val="116"/>
                      <w:sz w:val="22"/>
                      <w:szCs w:val="22"/>
                      <w:lang w:val="en-GB"/>
                    </w:rPr>
                    <m:t>x M</m:t>
                  </m:r>
                  <m:r>
                    <m:rPr>
                      <m:nor/>
                    </m:rPr>
                    <w:rPr>
                      <w:rFonts w:ascii="Cambria Math" w:hAnsi="Cambria Math" w:cs="Times New Roman"/>
                      <w:b/>
                      <w:w w:val="108"/>
                      <w:sz w:val="22"/>
                      <w:szCs w:val="22"/>
                      <w:lang w:val="en-GB"/>
                    </w:rPr>
                    <m:t>AF</m:t>
                  </m:r>
                  <m:r>
                    <m:rPr>
                      <m:nor/>
                    </m:rPr>
                    <w:rPr>
                      <w:rFonts w:ascii="Cambria Math" w:hAnsi="Cambria Math" w:cs="Times New Roman"/>
                      <w:b/>
                      <w:spacing w:val="-28"/>
                      <w:sz w:val="22"/>
                      <w:szCs w:val="22"/>
                      <w:lang w:val="en-GB"/>
                    </w:rPr>
                    <m:t xml:space="preserve"> x </m:t>
                  </m:r>
                  <m:r>
                    <m:rPr>
                      <m:nor/>
                    </m:rPr>
                    <w:rPr>
                      <w:rFonts w:ascii="Cambria Math" w:hAnsi="Cambria Math" w:cs="Times New Roman"/>
                      <w:b/>
                      <w:w w:val="112"/>
                      <w:sz w:val="22"/>
                      <w:szCs w:val="22"/>
                      <w:lang w:val="en-GB"/>
                    </w:rPr>
                    <m:t>(1</m:t>
                  </m:r>
                  <m:r>
                    <m:rPr>
                      <m:nor/>
                    </m:rPr>
                    <w:rPr>
                      <w:rFonts w:ascii="Cambria Math" w:hAnsi="Cambria Math" w:cs="Times New Roman"/>
                      <w:b/>
                      <w:spacing w:val="-8"/>
                      <w:sz w:val="22"/>
                      <w:szCs w:val="22"/>
                      <w:lang w:val="en-GB"/>
                    </w:rPr>
                    <m:t xml:space="preserve"> </m:t>
                  </m:r>
                  <m:r>
                    <m:rPr>
                      <m:nor/>
                    </m:rPr>
                    <w:rPr>
                      <w:rFonts w:ascii="Cambria Math" w:hAnsi="Cambria Math" w:cs="Times New Roman"/>
                      <w:b/>
                      <w:w w:val="132"/>
                      <w:sz w:val="22"/>
                      <w:szCs w:val="22"/>
                      <w:lang w:val="en-GB"/>
                    </w:rPr>
                    <m:t>-</m:t>
                  </m:r>
                  <m:r>
                    <m:rPr>
                      <m:nor/>
                    </m:rPr>
                    <w:rPr>
                      <w:rFonts w:ascii="Cambria Math" w:hAnsi="Cambria Math" w:cs="Times New Roman"/>
                      <w:b/>
                      <w:spacing w:val="-12"/>
                      <w:sz w:val="22"/>
                      <w:szCs w:val="22"/>
                      <w:lang w:val="en-GB"/>
                    </w:rPr>
                    <m:t xml:space="preserve"> </m:t>
                  </m:r>
                  <m:r>
                    <m:rPr>
                      <m:nor/>
                    </m:rPr>
                    <w:rPr>
                      <w:rFonts w:ascii="Cambria Math" w:hAnsi="Cambria Math" w:cs="Times New Roman"/>
                      <w:b/>
                      <w:spacing w:val="21"/>
                      <w:w w:val="116"/>
                      <w:sz w:val="22"/>
                      <w:szCs w:val="22"/>
                      <w:lang w:val="en-GB"/>
                    </w:rPr>
                    <m:t>M</m:t>
                  </m:r>
                  <m:r>
                    <m:rPr>
                      <m:nor/>
                    </m:rPr>
                    <w:rPr>
                      <w:rFonts w:ascii="Cambria Math" w:hAnsi="Cambria Math" w:cs="Times New Roman"/>
                      <w:b/>
                      <w:w w:val="108"/>
                      <w:sz w:val="22"/>
                      <w:szCs w:val="22"/>
                      <w:lang w:val="en-GB"/>
                    </w:rPr>
                    <m:t>AF</m:t>
                  </m:r>
                  <m:r>
                    <m:rPr>
                      <m:nor/>
                    </m:rPr>
                    <w:rPr>
                      <w:rFonts w:ascii="Cambria Math" w:hAnsi="Cambria Math" w:cs="Times New Roman"/>
                      <w:b/>
                      <w:w w:val="123"/>
                      <w:sz w:val="22"/>
                      <w:szCs w:val="22"/>
                      <w:lang w:val="en-GB"/>
                    </w:rPr>
                    <m:t>)</m:t>
                  </m:r>
                  <m:ctrlPr>
                    <w:rPr>
                      <w:rFonts w:ascii="Cambria Math" w:hAnsi="Cambria Math" w:cs="Times New Roman"/>
                      <w:b/>
                      <w:w w:val="123"/>
                      <w:sz w:val="22"/>
                      <w:szCs w:val="22"/>
                      <w:lang w:val="en-GB"/>
                    </w:rPr>
                  </m:ctrlPr>
                </m:e>
              </m:eqArr>
            </m:num>
            <m:den>
              <m:r>
                <m:rPr>
                  <m:nor/>
                </m:rPr>
                <w:rPr>
                  <w:rFonts w:ascii="Cambria Math" w:hAnsi="Cambria Math" w:cs="Times New Roman"/>
                  <w:b/>
                  <w:w w:val="106"/>
                  <w:sz w:val="22"/>
                  <w:szCs w:val="22"/>
                  <w:lang w:val="en-GB"/>
                </w:rPr>
                <m:t>2</m:t>
              </m:r>
              <m:r>
                <m:rPr>
                  <m:nor/>
                </m:rPr>
                <w:rPr>
                  <w:rFonts w:ascii="Cambria Math" w:hAnsi="Cambria Math" w:cs="Times New Roman"/>
                  <w:b/>
                  <w:spacing w:val="-85"/>
                  <w:w w:val="98"/>
                  <w:sz w:val="22"/>
                  <w:szCs w:val="22"/>
                  <w:lang w:val="en-GB"/>
                </w:rPr>
                <m:t>β</m:t>
              </m:r>
              <m:r>
                <m:rPr>
                  <m:nor/>
                </m:rPr>
                <w:rPr>
                  <w:rFonts w:ascii="Cambria Math" w:hAnsi="Cambria Math" w:cs="Times New Roman"/>
                  <w:b/>
                  <w:spacing w:val="10"/>
                  <w:w w:val="99"/>
                  <w:position w:val="6"/>
                  <w:sz w:val="16"/>
                  <w:szCs w:val="16"/>
                  <w:lang w:val="en-GB"/>
                </w:rPr>
                <m:t>2</m:t>
              </m:r>
              <m:r>
                <m:rPr>
                  <m:nor/>
                </m:rPr>
                <w:rPr>
                  <w:rFonts w:ascii="Cambria Math" w:hAnsi="Cambria Math" w:cs="Times New Roman"/>
                  <w:b/>
                  <w:w w:val="116"/>
                  <w:sz w:val="22"/>
                  <w:szCs w:val="22"/>
                  <w:lang w:val="en-GB"/>
                </w:rPr>
                <m:t xml:space="preserve"> x M</m:t>
              </m:r>
              <m:r>
                <m:rPr>
                  <m:nor/>
                </m:rPr>
                <w:rPr>
                  <w:rFonts w:ascii="Cambria Math" w:hAnsi="Cambria Math" w:cs="Times New Roman"/>
                  <w:b/>
                  <w:w w:val="108"/>
                  <w:sz w:val="22"/>
                  <w:szCs w:val="22"/>
                  <w:lang w:val="en-GB"/>
                </w:rPr>
                <m:t>AF</m:t>
              </m:r>
              <m:r>
                <m:rPr>
                  <m:nor/>
                </m:rPr>
                <w:rPr>
                  <w:rFonts w:ascii="Cambria Math" w:hAnsi="Cambria Math" w:cs="Times New Roman"/>
                  <w:b/>
                  <w:spacing w:val="-28"/>
                  <w:sz w:val="22"/>
                  <w:szCs w:val="22"/>
                  <w:lang w:val="en-GB"/>
                </w:rPr>
                <m:t xml:space="preserve"> x </m:t>
              </m:r>
              <m:d>
                <m:dPr>
                  <m:ctrlPr>
                    <w:rPr>
                      <w:rFonts w:ascii="Cambria Math" w:hAnsi="Cambria Math" w:cs="Times New Roman"/>
                      <w:b/>
                      <w:w w:val="112"/>
                      <w:sz w:val="22"/>
                      <w:szCs w:val="22"/>
                      <w:lang w:val="en-GB"/>
                    </w:rPr>
                  </m:ctrlPr>
                </m:dPr>
                <m:e>
                  <m:r>
                    <m:rPr>
                      <m:nor/>
                    </m:rPr>
                    <w:rPr>
                      <w:rFonts w:ascii="Cambria Math" w:hAnsi="Cambria Math" w:cs="Times New Roman"/>
                      <w:b/>
                      <w:w w:val="112"/>
                      <w:sz w:val="22"/>
                      <w:szCs w:val="22"/>
                      <w:lang w:val="en-GB"/>
                    </w:rPr>
                    <m:t>1</m:t>
                  </m:r>
                  <m:r>
                    <m:rPr>
                      <m:nor/>
                    </m:rPr>
                    <w:rPr>
                      <w:rFonts w:ascii="Cambria Math" w:hAnsi="Cambria Math" w:cs="Times New Roman"/>
                      <w:b/>
                      <w:spacing w:val="-8"/>
                      <w:sz w:val="22"/>
                      <w:szCs w:val="22"/>
                      <w:lang w:val="en-GB"/>
                    </w:rPr>
                    <m:t xml:space="preserve"> </m:t>
                  </m:r>
                  <m:r>
                    <m:rPr>
                      <m:nor/>
                    </m:rPr>
                    <w:rPr>
                      <w:rFonts w:ascii="Cambria Math" w:hAnsi="Cambria Math" w:cs="Times New Roman"/>
                      <w:b/>
                      <w:w w:val="132"/>
                      <w:sz w:val="22"/>
                      <w:szCs w:val="22"/>
                      <w:lang w:val="en-GB"/>
                    </w:rPr>
                    <m:t>-</m:t>
                  </m:r>
                  <m:r>
                    <m:rPr>
                      <m:nor/>
                    </m:rPr>
                    <w:rPr>
                      <w:rFonts w:ascii="Cambria Math" w:hAnsi="Cambria Math" w:cs="Times New Roman"/>
                      <w:b/>
                      <w:spacing w:val="-12"/>
                      <w:sz w:val="22"/>
                      <w:szCs w:val="22"/>
                      <w:lang w:val="en-GB"/>
                    </w:rPr>
                    <m:t xml:space="preserve"> </m:t>
                  </m:r>
                  <m:r>
                    <m:rPr>
                      <m:nor/>
                    </m:rPr>
                    <w:rPr>
                      <w:rFonts w:ascii="Cambria Math" w:hAnsi="Cambria Math" w:cs="Times New Roman"/>
                      <w:b/>
                      <w:spacing w:val="21"/>
                      <w:w w:val="116"/>
                      <w:sz w:val="22"/>
                      <w:szCs w:val="22"/>
                      <w:lang w:val="en-GB"/>
                    </w:rPr>
                    <m:t>M</m:t>
                  </m:r>
                  <m:r>
                    <m:rPr>
                      <m:nor/>
                    </m:rPr>
                    <w:rPr>
                      <w:rFonts w:ascii="Cambria Math" w:hAnsi="Cambria Math" w:cs="Times New Roman"/>
                      <w:b/>
                      <w:w w:val="108"/>
                      <w:sz w:val="22"/>
                      <w:szCs w:val="22"/>
                      <w:lang w:val="en-GB"/>
                    </w:rPr>
                    <m:t>AF</m:t>
                  </m:r>
                  <m:ctrlPr>
                    <w:rPr>
                      <w:rFonts w:ascii="Cambria Math" w:hAnsi="Cambria Math" w:cs="Times New Roman"/>
                      <w:b/>
                      <w:w w:val="123"/>
                      <w:sz w:val="22"/>
                      <w:szCs w:val="22"/>
                      <w:lang w:val="en-GB"/>
                    </w:rPr>
                  </m:ctrlPr>
                </m:e>
              </m:d>
              <m:r>
                <m:rPr>
                  <m:nor/>
                </m:rPr>
                <w:rPr>
                  <w:rFonts w:ascii="Cambria Math" w:hAnsi="Cambria Math" w:cs="Times New Roman"/>
                  <w:b/>
                  <w:w w:val="145"/>
                  <w:sz w:val="22"/>
                  <w:szCs w:val="22"/>
                  <w:lang w:val="en-GB"/>
                </w:rPr>
                <m:t xml:space="preserve"> +</m:t>
              </m:r>
              <m:r>
                <m:rPr>
                  <m:nor/>
                </m:rPr>
                <w:rPr>
                  <w:rFonts w:ascii="Cambria Math" w:hAnsi="Cambria Math" w:cs="Times New Roman"/>
                  <w:b/>
                  <w:spacing w:val="-8"/>
                  <w:sz w:val="22"/>
                  <w:szCs w:val="22"/>
                  <w:lang w:val="en-GB"/>
                </w:rPr>
                <m:t xml:space="preserve"> </m:t>
              </m:r>
              <m:d>
                <m:dPr>
                  <m:ctrlPr>
                    <w:rPr>
                      <w:rFonts w:ascii="Cambria Math" w:hAnsi="Cambria Math" w:cs="Times New Roman"/>
                      <w:b/>
                      <w:w w:val="114"/>
                      <w:sz w:val="22"/>
                      <w:szCs w:val="22"/>
                      <w:lang w:val="en-GB"/>
                    </w:rPr>
                  </m:ctrlPr>
                </m:dPr>
                <m:e>
                  <m:r>
                    <m:rPr>
                      <m:nor/>
                    </m:rPr>
                    <w:rPr>
                      <w:rFonts w:ascii="Cambria Math" w:hAnsi="Cambria Math" w:cs="Times New Roman"/>
                      <w:b/>
                      <w:w w:val="114"/>
                      <w:sz w:val="22"/>
                      <w:szCs w:val="22"/>
                      <w:lang w:val="en-GB"/>
                    </w:rPr>
                    <m:t>se</m:t>
                  </m:r>
                  <m:d>
                    <m:dPr>
                      <m:ctrlPr>
                        <w:rPr>
                          <w:rFonts w:ascii="Cambria Math" w:hAnsi="Cambria Math" w:cs="Times New Roman"/>
                          <w:b/>
                          <w:w w:val="114"/>
                          <w:sz w:val="22"/>
                          <w:szCs w:val="22"/>
                          <w:lang w:val="en-GB"/>
                        </w:rPr>
                      </m:ctrlPr>
                    </m:dPr>
                    <m:e>
                      <m:r>
                        <m:rPr>
                          <m:nor/>
                        </m:rPr>
                        <w:rPr>
                          <w:rFonts w:ascii="Cambria Math" w:hAnsi="Cambria Math" w:cs="Times New Roman"/>
                          <w:b/>
                          <w:spacing w:val="-85"/>
                          <w:w w:val="98"/>
                          <w:sz w:val="22"/>
                          <w:szCs w:val="22"/>
                          <w:lang w:val="en-GB"/>
                        </w:rPr>
                        <m:t>β</m:t>
                      </m:r>
                      <m:ctrlPr>
                        <w:rPr>
                          <w:rFonts w:ascii="Cambria Math" w:hAnsi="Cambria Math" w:cs="Times New Roman"/>
                          <w:b/>
                          <w:w w:val="123"/>
                          <w:sz w:val="22"/>
                          <w:szCs w:val="22"/>
                          <w:lang w:val="en-GB"/>
                        </w:rPr>
                      </m:ctrlPr>
                    </m:e>
                  </m:d>
                  <m:ctrlPr>
                    <w:rPr>
                      <w:rFonts w:ascii="Cambria Math" w:hAnsi="Cambria Math" w:cs="Times New Roman"/>
                      <w:b/>
                      <w:w w:val="123"/>
                      <w:sz w:val="22"/>
                      <w:szCs w:val="22"/>
                      <w:lang w:val="en-GB"/>
                    </w:rPr>
                  </m:ctrlPr>
                </m:e>
              </m:d>
              <m:r>
                <m:rPr>
                  <m:nor/>
                </m:rPr>
                <w:rPr>
                  <w:rFonts w:ascii="Cambria Math" w:hAnsi="Cambria Math" w:cs="Times New Roman"/>
                  <w:b/>
                  <w:spacing w:val="10"/>
                  <w:w w:val="99"/>
                  <w:position w:val="6"/>
                  <w:sz w:val="16"/>
                  <w:szCs w:val="16"/>
                  <w:lang w:val="en-GB"/>
                </w:rPr>
                <m:t>2</m:t>
              </m:r>
              <m:r>
                <m:rPr>
                  <m:nor/>
                </m:rPr>
                <w:rPr>
                  <w:rFonts w:ascii="Cambria Math" w:hAnsi="Cambria Math" w:cs="Times New Roman"/>
                  <w:b/>
                  <w:spacing w:val="10"/>
                  <w:w w:val="99"/>
                  <w:position w:val="6"/>
                  <w:sz w:val="22"/>
                  <w:szCs w:val="22"/>
                  <w:lang w:val="en-GB"/>
                </w:rPr>
                <m:t xml:space="preserve"> </m:t>
              </m:r>
              <m:r>
                <m:rPr>
                  <m:nor/>
                </m:rPr>
                <w:rPr>
                  <w:rFonts w:ascii="Cambria Math" w:hAnsi="Cambria Math" w:cs="Times New Roman"/>
                  <w:b/>
                  <w:spacing w:val="21"/>
                  <w:w w:val="110"/>
                  <w:sz w:val="22"/>
                  <w:szCs w:val="22"/>
                  <w:lang w:val="en-GB"/>
                </w:rPr>
                <m:t>x 2</m:t>
              </m:r>
              <m:r>
                <m:rPr>
                  <m:nor/>
                </m:rPr>
                <w:rPr>
                  <w:rFonts w:ascii="Cambria Math" w:hAnsi="Cambria Math" w:cs="Times New Roman"/>
                  <w:b/>
                  <w:i/>
                  <w:spacing w:val="21"/>
                  <w:w w:val="110"/>
                  <w:sz w:val="22"/>
                  <w:szCs w:val="22"/>
                  <w:lang w:val="en-GB"/>
                </w:rPr>
                <m:t>N</m:t>
              </m:r>
              <m:r>
                <m:rPr>
                  <m:nor/>
                </m:rPr>
                <w:rPr>
                  <w:rFonts w:ascii="Cambria Math" w:hAnsi="Cambria Math" w:cs="Times New Roman"/>
                  <w:b/>
                  <w:spacing w:val="21"/>
                  <w:w w:val="110"/>
                  <w:sz w:val="22"/>
                  <w:szCs w:val="22"/>
                  <w:lang w:val="en-GB"/>
                </w:rPr>
                <m:t xml:space="preserve"> x </m:t>
              </m:r>
              <m:r>
                <m:rPr>
                  <m:nor/>
                </m:rPr>
                <w:rPr>
                  <w:rFonts w:ascii="Cambria Math" w:hAnsi="Cambria Math" w:cs="Times New Roman"/>
                  <w:b/>
                  <w:spacing w:val="21"/>
                  <w:w w:val="116"/>
                  <w:sz w:val="22"/>
                  <w:szCs w:val="22"/>
                  <w:lang w:val="en-GB"/>
                </w:rPr>
                <m:t>M</m:t>
              </m:r>
              <m:r>
                <m:rPr>
                  <m:nor/>
                </m:rPr>
                <w:rPr>
                  <w:rFonts w:ascii="Cambria Math" w:hAnsi="Cambria Math" w:cs="Times New Roman"/>
                  <w:b/>
                  <w:w w:val="108"/>
                  <w:sz w:val="22"/>
                  <w:szCs w:val="22"/>
                  <w:lang w:val="en-GB"/>
                </w:rPr>
                <m:t>AF</m:t>
              </m:r>
              <m:r>
                <m:rPr>
                  <m:nor/>
                </m:rPr>
                <w:rPr>
                  <w:rFonts w:ascii="Cambria Math" w:hAnsi="Cambria Math" w:cs="Times New Roman"/>
                  <w:b/>
                  <w:spacing w:val="-28"/>
                  <w:sz w:val="22"/>
                  <w:szCs w:val="22"/>
                  <w:lang w:val="en-GB"/>
                </w:rPr>
                <m:t xml:space="preserve"> x </m:t>
              </m:r>
              <m:r>
                <m:rPr>
                  <m:nor/>
                </m:rPr>
                <w:rPr>
                  <w:rFonts w:ascii="Cambria Math" w:hAnsi="Cambria Math" w:cs="Times New Roman"/>
                  <w:b/>
                  <w:w w:val="112"/>
                  <w:sz w:val="22"/>
                  <w:szCs w:val="22"/>
                  <w:lang w:val="en-GB"/>
                </w:rPr>
                <m:t>(1</m:t>
              </m:r>
              <m:r>
                <m:rPr>
                  <m:nor/>
                </m:rPr>
                <w:rPr>
                  <w:rFonts w:ascii="Cambria Math" w:hAnsi="Cambria Math" w:cs="Times New Roman"/>
                  <w:b/>
                  <w:spacing w:val="-8"/>
                  <w:sz w:val="22"/>
                  <w:szCs w:val="22"/>
                  <w:lang w:val="en-GB"/>
                </w:rPr>
                <m:t xml:space="preserve"> </m:t>
              </m:r>
              <m:r>
                <m:rPr>
                  <m:nor/>
                </m:rPr>
                <w:rPr>
                  <w:rFonts w:ascii="Cambria Math" w:hAnsi="Cambria Math" w:cs="Times New Roman"/>
                  <w:b/>
                  <w:w w:val="132"/>
                  <w:sz w:val="22"/>
                  <w:szCs w:val="22"/>
                  <w:lang w:val="en-GB"/>
                </w:rPr>
                <m:t>-</m:t>
              </m:r>
              <m:r>
                <m:rPr>
                  <m:nor/>
                </m:rPr>
                <w:rPr>
                  <w:rFonts w:ascii="Cambria Math" w:hAnsi="Cambria Math" w:cs="Times New Roman"/>
                  <w:b/>
                  <w:spacing w:val="-12"/>
                  <w:sz w:val="22"/>
                  <w:szCs w:val="22"/>
                  <w:lang w:val="en-GB"/>
                </w:rPr>
                <m:t xml:space="preserve"> </m:t>
              </m:r>
              <m:r>
                <m:rPr>
                  <m:nor/>
                </m:rPr>
                <w:rPr>
                  <w:rFonts w:ascii="Cambria Math" w:hAnsi="Cambria Math" w:cs="Times New Roman"/>
                  <w:b/>
                  <w:spacing w:val="21"/>
                  <w:w w:val="116"/>
                  <w:sz w:val="22"/>
                  <w:szCs w:val="22"/>
                  <w:lang w:val="en-GB"/>
                </w:rPr>
                <m:t>M</m:t>
              </m:r>
              <m:r>
                <m:rPr>
                  <m:nor/>
                </m:rPr>
                <w:rPr>
                  <w:rFonts w:ascii="Cambria Math" w:hAnsi="Cambria Math" w:cs="Times New Roman"/>
                  <w:b/>
                  <w:w w:val="108"/>
                  <w:sz w:val="22"/>
                  <w:szCs w:val="22"/>
                  <w:lang w:val="en-GB"/>
                </w:rPr>
                <m:t>AF</m:t>
              </m:r>
              <m:r>
                <m:rPr>
                  <m:nor/>
                </m:rPr>
                <w:rPr>
                  <w:rFonts w:ascii="Cambria Math" w:hAnsi="Cambria Math" w:cs="Times New Roman"/>
                  <w:b/>
                  <w:w w:val="123"/>
                  <w:sz w:val="22"/>
                  <w:szCs w:val="22"/>
                  <w:lang w:val="en-GB"/>
                </w:rPr>
                <m:t>)</m:t>
              </m:r>
            </m:den>
          </m:f>
        </m:oMath>
      </m:oMathPara>
    </w:p>
    <w:p w14:paraId="25EAEABF" w14:textId="48869FD9" w:rsidR="00373CB0" w:rsidRPr="00B30977" w:rsidRDefault="00373CB0" w:rsidP="00373CB0">
      <w:pPr>
        <w:pStyle w:val="Sansinterligne"/>
        <w:spacing w:line="360" w:lineRule="auto"/>
        <w:jc w:val="both"/>
        <w:rPr>
          <w:rFonts w:ascii="Times New Roman" w:hAnsi="Times New Roman" w:cs="Times New Roman"/>
          <w:b/>
          <w:sz w:val="22"/>
          <w:szCs w:val="22"/>
          <w:lang w:val="en-GB"/>
        </w:rPr>
      </w:pPr>
    </w:p>
    <w:p w14:paraId="403C6DF7" w14:textId="77777777" w:rsidR="00CA33A7" w:rsidRDefault="00373CB0" w:rsidP="00CA33A7">
      <w:pPr>
        <w:pStyle w:val="Sansinterligne"/>
        <w:spacing w:line="360" w:lineRule="auto"/>
        <w:ind w:firstLine="340"/>
        <w:jc w:val="both"/>
        <w:rPr>
          <w:rFonts w:ascii="Times New Roman" w:hAnsi="Times New Roman" w:cs="Times New Roman"/>
          <w:sz w:val="22"/>
          <w:szCs w:val="22"/>
          <w:lang w:val="en-GB"/>
        </w:rPr>
      </w:pPr>
      <w:r w:rsidRPr="00373CB0">
        <w:rPr>
          <w:rFonts w:ascii="Times New Roman" w:hAnsi="Times New Roman" w:cs="Times New Roman"/>
          <w:sz w:val="22"/>
          <w:szCs w:val="22"/>
          <w:lang w:val="en-GB"/>
        </w:rPr>
        <w:t>with β, effect size (</w:t>
      </w:r>
      <w:r w:rsidR="00CA33A7" w:rsidRPr="00373CB0">
        <w:rPr>
          <w:rFonts w:ascii="Times New Roman" w:hAnsi="Times New Roman" w:cs="Times New Roman"/>
          <w:sz w:val="22"/>
          <w:szCs w:val="22"/>
          <w:lang w:val="en-GB"/>
        </w:rPr>
        <w:t xml:space="preserve">β </w:t>
      </w:r>
      <w:r w:rsidRPr="00373CB0">
        <w:rPr>
          <w:rFonts w:ascii="Times New Roman" w:hAnsi="Times New Roman" w:cs="Times New Roman"/>
          <w:sz w:val="22"/>
          <w:szCs w:val="22"/>
          <w:lang w:val="en-GB"/>
        </w:rPr>
        <w:t xml:space="preserve">coefficient) for a given </w:t>
      </w:r>
      <w:proofErr w:type="gramStart"/>
      <w:r w:rsidRPr="00373CB0">
        <w:rPr>
          <w:rFonts w:ascii="Times New Roman" w:hAnsi="Times New Roman" w:cs="Times New Roman"/>
          <w:sz w:val="22"/>
          <w:szCs w:val="22"/>
          <w:lang w:val="en-GB"/>
        </w:rPr>
        <w:t>SNP;  MAF</w:t>
      </w:r>
      <w:proofErr w:type="gramEnd"/>
      <w:r w:rsidRPr="00373CB0">
        <w:rPr>
          <w:rFonts w:ascii="Times New Roman" w:hAnsi="Times New Roman" w:cs="Times New Roman"/>
          <w:sz w:val="22"/>
          <w:szCs w:val="22"/>
          <w:lang w:val="en-GB"/>
        </w:rPr>
        <w:t xml:space="preserve">, minor allele frequency; se(β) standard error of effect size and </w:t>
      </w:r>
      <w:r w:rsidRPr="00373CB0">
        <w:rPr>
          <w:rFonts w:ascii="Times New Roman" w:hAnsi="Times New Roman" w:cs="Times New Roman"/>
          <w:i/>
          <w:sz w:val="22"/>
          <w:szCs w:val="22"/>
          <w:lang w:val="en-GB"/>
        </w:rPr>
        <w:t>N</w:t>
      </w:r>
      <w:r w:rsidRPr="00373CB0">
        <w:rPr>
          <w:rFonts w:ascii="Times New Roman" w:hAnsi="Times New Roman" w:cs="Times New Roman"/>
          <w:sz w:val="22"/>
          <w:szCs w:val="22"/>
          <w:lang w:val="en-GB"/>
        </w:rPr>
        <w:t>, sample size.</w:t>
      </w:r>
    </w:p>
    <w:p w14:paraId="695368A1" w14:textId="77777777" w:rsidR="00373CB0" w:rsidRDefault="00373CB0" w:rsidP="00CA33A7">
      <w:pPr>
        <w:pStyle w:val="Sansinterligne"/>
        <w:spacing w:line="360" w:lineRule="auto"/>
        <w:ind w:firstLine="340"/>
        <w:jc w:val="both"/>
        <w:rPr>
          <w:rFonts w:ascii="Times New Roman" w:hAnsi="Times New Roman" w:cs="Times New Roman"/>
          <w:sz w:val="22"/>
          <w:szCs w:val="22"/>
          <w:lang w:val="en-GB"/>
        </w:rPr>
      </w:pPr>
      <w:r w:rsidRPr="00373CB0">
        <w:rPr>
          <w:rFonts w:ascii="Times New Roman" w:hAnsi="Times New Roman" w:cs="Times New Roman"/>
          <w:sz w:val="22"/>
          <w:szCs w:val="22"/>
          <w:lang w:val="en-GB"/>
        </w:rPr>
        <w:t xml:space="preserve">Total proportion of variance explained for the association between the SNPs and the use of cannabis result in </w:t>
      </w:r>
      <w:r w:rsidR="00CA33A7">
        <w:rPr>
          <w:rFonts w:ascii="Times New Roman" w:hAnsi="Times New Roman" w:cs="Times New Roman"/>
          <w:sz w:val="22"/>
          <w:szCs w:val="22"/>
          <w:lang w:val="en-GB"/>
        </w:rPr>
        <w:t xml:space="preserve">cumulative effect of each SNP. </w:t>
      </w:r>
    </w:p>
    <w:p w14:paraId="3FE1E8C4" w14:textId="77777777" w:rsidR="00CA33A7" w:rsidRDefault="00CA33A7" w:rsidP="00CA33A7">
      <w:pPr>
        <w:pStyle w:val="Sansinterligne"/>
        <w:spacing w:line="360" w:lineRule="auto"/>
        <w:jc w:val="both"/>
        <w:rPr>
          <w:rFonts w:ascii="Times New Roman" w:hAnsi="Times New Roman" w:cs="Times New Roman"/>
          <w:sz w:val="22"/>
          <w:szCs w:val="22"/>
          <w:lang w:val="en-GB"/>
        </w:rPr>
      </w:pPr>
    </w:p>
    <w:p w14:paraId="58AB7FD8" w14:textId="1F6CA86F" w:rsidR="00373CB0" w:rsidRPr="00373CB0" w:rsidRDefault="00CA33A7" w:rsidP="00373CB0">
      <w:pPr>
        <w:pStyle w:val="Sansinterligne"/>
        <w:spacing w:line="360" w:lineRule="auto"/>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The F-statistics was then calculated as follow, according to </w:t>
      </w:r>
      <w:r w:rsidR="006B4278">
        <w:rPr>
          <w:rFonts w:ascii="Times New Roman" w:hAnsi="Times New Roman" w:cs="Times New Roman"/>
          <w:sz w:val="22"/>
          <w:szCs w:val="22"/>
          <w:lang w:val="en-GB"/>
        </w:rPr>
        <w:t>Pierce et al</w:t>
      </w:r>
      <w:r w:rsidR="00207537">
        <w:rPr>
          <w:rFonts w:ascii="Times New Roman" w:hAnsi="Times New Roman" w:cs="Times New Roman"/>
          <w:sz w:val="22"/>
          <w:szCs w:val="22"/>
          <w:lang w:val="en-GB"/>
        </w:rPr>
        <w:fldChar w:fldCharType="begin"/>
      </w:r>
      <w:r w:rsidR="00B30573">
        <w:rPr>
          <w:rFonts w:ascii="Times New Roman" w:hAnsi="Times New Roman" w:cs="Times New Roman"/>
          <w:sz w:val="22"/>
          <w:szCs w:val="22"/>
          <w:lang w:val="en-GB"/>
        </w:rPr>
        <w:instrText xml:space="preserve"> ADDIN ZOTERO_ITEM CSL_CITATION {"citationID":"SYlkBOEG","properties":{"formattedCitation":"[5]","plainCitation":"[5]","noteIndex":0},"citationItems":[{"id":315,"uris":["http://zotero.org/users/local/zfL9pym4/items/ERCBS4AF"],"itemData":{"id":315,"type":"article-journal","abstract":"Mendelian randomization (MR) is a method for estimating the causal relationship between an exposure and an outcome using a genetic factor as an instrumental variable (IV) for the exposure. In the traditional MR setting, data on the IV, exposure, and outcome are available for all participants. However, obtaining complete exposure data may be difficult in some settings, due to high measurement costs or lack of appropriate biospecimens. We used simulated data sets to assess statistical power and bias for MR when exposure data are available for a subset (or an independent set) of participants. We show that obtaining exposure data for a subset of participants is a cost-efficient strategy, often having negligible effects on power in comparison with a traditional complete-data analysis. The size of the subset needed to achieve maximum power depends on IV strength, and maximum power is approximately equal to the power of traditional IV estimators. Weak IVs are shown to lead to bias towards the null when the subsample is small and towards the confounded association when the subset is relatively large. Various approaches for confidence interval calculation are considered. These results have important implications for reducing the costs and increasing the feasibility of MR studies.","container-title":"American Journal of Epidemiology","DOI":"10.1093/aje/kwt084","ISSN":"1476-6256","issue":"7","journalAbbreviation":"Am J Epidemiol","language":"eng","note":"number: 7\nPMID: 23863760\nPMCID: PMC3783091","page":"1177-1184","source":"PubMed","title":"Efficient design for Mendelian randomization studies: subsample and 2-sample instrumental variable estimators","title-short":"Efficient design for Mendelian randomization studies","volume":"178","author":[{"family":"Pierce","given":"Brandon L."},{"family":"Burgess","given":"Stephen"}],"issued":{"date-parts":[["2013",10,1]]}}}],"schema":"https://github.com/citation-style-language/schema/raw/master/csl-citation.json"} </w:instrText>
      </w:r>
      <w:r w:rsidR="00207537">
        <w:rPr>
          <w:rFonts w:ascii="Times New Roman" w:hAnsi="Times New Roman" w:cs="Times New Roman"/>
          <w:sz w:val="22"/>
          <w:szCs w:val="22"/>
          <w:lang w:val="en-GB"/>
        </w:rPr>
        <w:fldChar w:fldCharType="separate"/>
      </w:r>
      <w:r w:rsidR="00B30573" w:rsidRPr="00B30573">
        <w:rPr>
          <w:rFonts w:ascii="Times New Roman" w:hAnsi="Times New Roman" w:cs="Times New Roman"/>
          <w:sz w:val="22"/>
          <w:lang w:val="en-US"/>
        </w:rPr>
        <w:t>[5]</w:t>
      </w:r>
      <w:r w:rsidR="00207537">
        <w:rPr>
          <w:rFonts w:ascii="Times New Roman" w:hAnsi="Times New Roman" w:cs="Times New Roman"/>
          <w:sz w:val="22"/>
          <w:szCs w:val="22"/>
          <w:lang w:val="en-GB"/>
        </w:rPr>
        <w:fldChar w:fldCharType="end"/>
      </w:r>
      <w:r>
        <w:rPr>
          <w:rFonts w:ascii="Times New Roman" w:hAnsi="Times New Roman" w:cs="Times New Roman"/>
          <w:sz w:val="22"/>
          <w:szCs w:val="22"/>
          <w:lang w:val="en-GB"/>
        </w:rPr>
        <w:t xml:space="preserve"> : </w:t>
      </w:r>
    </w:p>
    <w:p w14:paraId="465456BD" w14:textId="77777777" w:rsidR="00373CB0" w:rsidRPr="00373CB0" w:rsidRDefault="00373CB0" w:rsidP="00CA33A7">
      <w:pPr>
        <w:pStyle w:val="Sansinterligne"/>
        <w:spacing w:line="360" w:lineRule="auto"/>
        <w:jc w:val="center"/>
        <w:rPr>
          <w:rFonts w:ascii="Times New Roman" w:hAnsi="Times New Roman" w:cs="Times New Roman"/>
          <w:sz w:val="22"/>
          <w:szCs w:val="22"/>
          <w:lang w:val="en-GB"/>
        </w:rPr>
      </w:pPr>
      <w:r w:rsidRPr="00373CB0">
        <w:rPr>
          <w:rFonts w:ascii="Times New Roman" w:hAnsi="Times New Roman" w:cs="Times New Roman"/>
          <w:noProof/>
          <w:sz w:val="22"/>
          <w:szCs w:val="22"/>
          <w:lang w:val="fr-FR" w:eastAsia="fr-FR"/>
        </w:rPr>
        <w:drawing>
          <wp:inline distT="0" distB="0" distL="0" distR="0" wp14:anchorId="3B4FD791" wp14:editId="010DB6B6">
            <wp:extent cx="1441450" cy="51435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205" t="26875" r="18420" b="22500"/>
                    <a:stretch/>
                  </pic:blipFill>
                  <pic:spPr bwMode="auto">
                    <a:xfrm>
                      <a:off x="0" y="0"/>
                      <a:ext cx="1441524" cy="514376"/>
                    </a:xfrm>
                    <a:prstGeom prst="rect">
                      <a:avLst/>
                    </a:prstGeom>
                    <a:ln>
                      <a:noFill/>
                    </a:ln>
                    <a:extLst>
                      <a:ext uri="{53640926-AAD7-44D8-BBD7-CCE9431645EC}">
                        <a14:shadowObscured xmlns:a14="http://schemas.microsoft.com/office/drawing/2010/main"/>
                      </a:ext>
                    </a:extLst>
                  </pic:spPr>
                </pic:pic>
              </a:graphicData>
            </a:graphic>
          </wp:inline>
        </w:drawing>
      </w:r>
    </w:p>
    <w:p w14:paraId="2C905F43" w14:textId="77777777" w:rsidR="00373CB0" w:rsidRPr="00373CB0" w:rsidRDefault="00373CB0" w:rsidP="00CA33A7">
      <w:pPr>
        <w:pStyle w:val="Sansinterligne"/>
        <w:spacing w:line="360" w:lineRule="auto"/>
        <w:ind w:firstLine="340"/>
        <w:jc w:val="both"/>
        <w:rPr>
          <w:rFonts w:ascii="Times New Roman" w:hAnsi="Times New Roman" w:cs="Times New Roman"/>
          <w:sz w:val="22"/>
          <w:szCs w:val="22"/>
          <w:lang w:val="en-GB"/>
        </w:rPr>
      </w:pPr>
      <w:r w:rsidRPr="00373CB0">
        <w:rPr>
          <w:rFonts w:ascii="Times New Roman" w:hAnsi="Times New Roman" w:cs="Times New Roman"/>
          <w:sz w:val="22"/>
          <w:szCs w:val="22"/>
          <w:lang w:val="en-GB"/>
        </w:rPr>
        <w:t>with, n, sample si</w:t>
      </w:r>
      <w:r w:rsidR="00CA33A7">
        <w:rPr>
          <w:rFonts w:ascii="Times New Roman" w:hAnsi="Times New Roman" w:cs="Times New Roman"/>
          <w:sz w:val="22"/>
          <w:szCs w:val="22"/>
          <w:lang w:val="en-GB"/>
        </w:rPr>
        <w:t xml:space="preserve">ze; k, number of instrument variables used </w:t>
      </w:r>
    </w:p>
    <w:p w14:paraId="39A35592" w14:textId="6E6ACBFA" w:rsidR="00373CB0" w:rsidRPr="003D2EED" w:rsidRDefault="00373CB0" w:rsidP="00373CB0">
      <w:pPr>
        <w:pStyle w:val="Sansinterligne"/>
        <w:spacing w:line="360" w:lineRule="auto"/>
        <w:jc w:val="both"/>
        <w:rPr>
          <w:rFonts w:ascii="Times New Roman" w:hAnsi="Times New Roman" w:cs="Times New Roman"/>
          <w:b/>
          <w:sz w:val="22"/>
          <w:szCs w:val="22"/>
          <w:lang w:val="en-GB"/>
        </w:rPr>
      </w:pPr>
    </w:p>
    <w:p w14:paraId="4727A8F5" w14:textId="5915242E" w:rsidR="00C22549" w:rsidRPr="003D2EED" w:rsidRDefault="00C22549" w:rsidP="00C22549">
      <w:pPr>
        <w:pStyle w:val="Sansinterligne"/>
        <w:spacing w:line="360" w:lineRule="auto"/>
        <w:jc w:val="both"/>
        <w:rPr>
          <w:rFonts w:ascii="Times New Roman" w:hAnsi="Times New Roman" w:cs="Times New Roman"/>
          <w:b/>
          <w:sz w:val="22"/>
          <w:szCs w:val="22"/>
          <w:lang w:val="en-GB"/>
        </w:rPr>
      </w:pPr>
      <w:r w:rsidRPr="003D2EED">
        <w:rPr>
          <w:rFonts w:ascii="Times New Roman" w:hAnsi="Times New Roman" w:cs="Times New Roman"/>
          <w:b/>
          <w:sz w:val="22"/>
          <w:szCs w:val="22"/>
          <w:lang w:val="en-GB"/>
        </w:rPr>
        <w:t>Association between cannabi</w:t>
      </w:r>
      <w:r w:rsidR="00207537" w:rsidRPr="003D2EED">
        <w:rPr>
          <w:rFonts w:ascii="Times New Roman" w:hAnsi="Times New Roman" w:cs="Times New Roman"/>
          <w:b/>
          <w:sz w:val="22"/>
          <w:szCs w:val="22"/>
          <w:lang w:val="en-GB"/>
        </w:rPr>
        <w:t xml:space="preserve">s use and ASCVD in </w:t>
      </w:r>
      <w:proofErr w:type="spellStart"/>
      <w:r w:rsidR="00207537" w:rsidRPr="003D2EED">
        <w:rPr>
          <w:rFonts w:ascii="Times New Roman" w:hAnsi="Times New Roman" w:cs="Times New Roman"/>
          <w:b/>
          <w:sz w:val="22"/>
          <w:szCs w:val="22"/>
          <w:lang w:val="en-GB"/>
        </w:rPr>
        <w:t>CoLaus</w:t>
      </w:r>
      <w:proofErr w:type="spellEnd"/>
      <w:r w:rsidR="00207537" w:rsidRPr="003D2EED">
        <w:rPr>
          <w:rFonts w:ascii="Times New Roman" w:hAnsi="Times New Roman" w:cs="Times New Roman"/>
          <w:b/>
          <w:sz w:val="22"/>
          <w:szCs w:val="22"/>
          <w:lang w:val="en-GB"/>
        </w:rPr>
        <w:t>/</w:t>
      </w:r>
      <w:proofErr w:type="spellStart"/>
      <w:r w:rsidR="00207537" w:rsidRPr="003D2EED">
        <w:rPr>
          <w:rFonts w:ascii="Times New Roman" w:hAnsi="Times New Roman" w:cs="Times New Roman"/>
          <w:b/>
          <w:sz w:val="22"/>
          <w:szCs w:val="22"/>
          <w:lang w:val="en-GB"/>
        </w:rPr>
        <w:t>PsyCo</w:t>
      </w:r>
      <w:r w:rsidRPr="003D2EED">
        <w:rPr>
          <w:rFonts w:ascii="Times New Roman" w:hAnsi="Times New Roman" w:cs="Times New Roman"/>
          <w:b/>
          <w:sz w:val="22"/>
          <w:szCs w:val="22"/>
          <w:lang w:val="en-GB"/>
        </w:rPr>
        <w:t>Laus</w:t>
      </w:r>
      <w:proofErr w:type="spellEnd"/>
      <w:r w:rsidRPr="003D2EED">
        <w:rPr>
          <w:rFonts w:ascii="Times New Roman" w:hAnsi="Times New Roman" w:cs="Times New Roman"/>
          <w:b/>
          <w:sz w:val="22"/>
          <w:szCs w:val="22"/>
          <w:lang w:val="en-GB"/>
        </w:rPr>
        <w:t xml:space="preserve"> cohort study</w:t>
      </w:r>
    </w:p>
    <w:p w14:paraId="5789982B" w14:textId="5624B845" w:rsidR="00C22549" w:rsidRPr="00C22549" w:rsidRDefault="00C22549" w:rsidP="00C22549">
      <w:pPr>
        <w:pStyle w:val="Sansinterligne"/>
        <w:spacing w:line="360" w:lineRule="auto"/>
        <w:ind w:firstLine="340"/>
        <w:jc w:val="both"/>
        <w:rPr>
          <w:rFonts w:ascii="Times New Roman" w:hAnsi="Times New Roman" w:cs="Times New Roman"/>
          <w:sz w:val="22"/>
          <w:szCs w:val="22"/>
          <w:lang w:val="en-GB"/>
        </w:rPr>
      </w:pPr>
      <w:r w:rsidRPr="00C22549">
        <w:rPr>
          <w:rFonts w:ascii="Times New Roman" w:hAnsi="Times New Roman" w:cs="Times New Roman"/>
          <w:sz w:val="22"/>
          <w:szCs w:val="22"/>
          <w:lang w:val="en-GB"/>
        </w:rPr>
        <w:t>The detailed description of the recruitment</w:t>
      </w:r>
      <w:r w:rsidR="00207537">
        <w:rPr>
          <w:rFonts w:ascii="Times New Roman" w:hAnsi="Times New Roman" w:cs="Times New Roman"/>
          <w:sz w:val="22"/>
          <w:szCs w:val="22"/>
          <w:lang w:val="en-GB"/>
        </w:rPr>
        <w:t xml:space="preserve"> of the </w:t>
      </w:r>
      <w:proofErr w:type="spellStart"/>
      <w:r w:rsidR="00207537">
        <w:rPr>
          <w:rFonts w:ascii="Times New Roman" w:hAnsi="Times New Roman" w:cs="Times New Roman"/>
          <w:sz w:val="22"/>
          <w:szCs w:val="22"/>
          <w:lang w:val="en-GB"/>
        </w:rPr>
        <w:t>PsyCo</w:t>
      </w:r>
      <w:r w:rsidRPr="00C22549">
        <w:rPr>
          <w:rFonts w:ascii="Times New Roman" w:hAnsi="Times New Roman" w:cs="Times New Roman"/>
          <w:sz w:val="22"/>
          <w:szCs w:val="22"/>
          <w:lang w:val="en-GB"/>
        </w:rPr>
        <w:t>Laus</w:t>
      </w:r>
      <w:proofErr w:type="spellEnd"/>
      <w:r w:rsidRPr="00C22549">
        <w:rPr>
          <w:rFonts w:ascii="Times New Roman" w:hAnsi="Times New Roman" w:cs="Times New Roman"/>
          <w:sz w:val="22"/>
          <w:szCs w:val="22"/>
          <w:lang w:val="en-GB"/>
        </w:rPr>
        <w:t xml:space="preserve"> study and the follow-up procedures have been described previously</w:t>
      </w:r>
      <w:r w:rsidR="00207537">
        <w:rPr>
          <w:rFonts w:ascii="Times New Roman" w:hAnsi="Times New Roman" w:cs="Times New Roman"/>
          <w:sz w:val="22"/>
          <w:szCs w:val="22"/>
          <w:lang w:val="en-GB"/>
        </w:rPr>
        <w:fldChar w:fldCharType="begin"/>
      </w:r>
      <w:r w:rsidR="00B30573">
        <w:rPr>
          <w:rFonts w:ascii="Times New Roman" w:hAnsi="Times New Roman" w:cs="Times New Roman"/>
          <w:sz w:val="22"/>
          <w:szCs w:val="22"/>
          <w:lang w:val="en-GB"/>
        </w:rPr>
        <w:instrText xml:space="preserve"> ADDIN ZOTERO_ITEM CSL_CITATION {"citationID":"UOa4gnNv","properties":{"formattedCitation":"[6]","plainCitation":"[6]","noteIndex":0},"citationItems":[{"id":1173,"uris":["http://zotero.org/users/local/zfL9pym4/items/DKRSVRY9"],"itemData":{"id":1173,"type":"article-journal","abstract":"BACKGROUND: Cardiovascular diseases and their associated risk factors remain the main cause of mortality in western societies. In order to assess the prevalence of cardiovascular risk factors (CVRFs) in the Caucasian population of Lausanne, Switzerland, we conducted a population-based study (Colaus Study). A secondary aim of the CoLaus study will be to determine new genetic determinants associated with CVRFs.\nMETHODS: Single-center, cross-sectional study including a random sample of 6,188 extensively phenotyped Caucasian subjects (3,251 women and 2,937 men) aged 35 to 75 years living in Lausanne, and genotyped using the 500 K Affymetrix chip technology.\nRESULTS: Obesity (body mass index &gt; or = 30 kg/m2), smoking, hypertension (blood pressure &gt; or = 140/90 mmHg and/or treatment), dyslipidemia (high LDL-cholesterol and/or low HDL-cholesterol and/or high triglyceride levels) and diabetes (fasting plasma glucose &gt; or = 7 mmol/l and/or treatment) were present in 947 (15.7%), 1673 (27.0%), 2268 (36.7%), 2113 (34.2%) and 407 (6.6%) of the participants, respectively, and the prevalence was higher in men than in women. In both genders, the prevalence of obesity, hypertension and diabetes increased with age.\nCONCLUSION: The prevalence of major CVRFs is high in the Lausanne population in particular in men. We anticipate that given its size, the depth of the phenotypic analysis and the availability of dense genome-wide genetic data, the CoLaus Study will be a unique resource to investigate not only the epidemiology of isolated, or aggregated CVRFs like the metabolic syndrome, but can also serve as a discovery set, as well as replication set, to identify novel genes associated with these conditions.","container-title":"BMC cardiovascular disorders","DOI":"10.1186/1471-2261-8-6","ISSN":"1471-2261","journalAbbreviation":"BMC Cardiovasc Disord","language":"eng","note":"PMID: 18366642\nPMCID: PMC2311269","page":"6","source":"PubMed","title":"The CoLaus study: a population-based study to investigate the epidemiology and genetic determinants of cardiovascular risk factors and metabolic syndrome","title-short":"The CoLaus study","volume":"8","author":[{"family":"Firmann","given":"Mathieu"},{"family":"Mayor","given":"Vladimir"},{"family":"Vidal","given":"Pedro Marques"},{"family":"Bochud","given":"Murielle"},{"family":"Pécoud","given":"Alain"},{"family":"Hayoz","given":"Daniel"},{"family":"Paccaud","given":"Fred"},{"family":"Preisig","given":"Martin"},{"family":"Song","given":"Kijoung S."},{"family":"Yuan","given":"Xin"},{"family":"Danoff","given":"Theodore M."},{"family":"Stirnadel","given":"Heide A."},{"family":"Waterworth","given":"Dawn"},{"family":"Mooser","given":"Vincent"},{"family":"Waeber","given":"Gérard"},{"family":"Vollenweider","given":"Peter"}],"issued":{"date-parts":[["2008",3,17]]}}}],"schema":"https://github.com/citation-style-language/schema/raw/master/csl-citation.json"} </w:instrText>
      </w:r>
      <w:r w:rsidR="00207537">
        <w:rPr>
          <w:rFonts w:ascii="Times New Roman" w:hAnsi="Times New Roman" w:cs="Times New Roman"/>
          <w:sz w:val="22"/>
          <w:szCs w:val="22"/>
          <w:lang w:val="en-GB"/>
        </w:rPr>
        <w:fldChar w:fldCharType="separate"/>
      </w:r>
      <w:r w:rsidR="00B30573" w:rsidRPr="00BD1D47">
        <w:rPr>
          <w:rFonts w:ascii="Times New Roman" w:hAnsi="Times New Roman" w:cs="Times New Roman"/>
          <w:sz w:val="22"/>
          <w:lang w:val="en-US"/>
        </w:rPr>
        <w:t>[6]</w:t>
      </w:r>
      <w:r w:rsidR="00207537">
        <w:rPr>
          <w:rFonts w:ascii="Times New Roman" w:hAnsi="Times New Roman" w:cs="Times New Roman"/>
          <w:sz w:val="22"/>
          <w:szCs w:val="22"/>
          <w:lang w:val="en-GB"/>
        </w:rPr>
        <w:fldChar w:fldCharType="end"/>
      </w:r>
      <w:r w:rsidR="00207537">
        <w:rPr>
          <w:rFonts w:ascii="Times New Roman" w:hAnsi="Times New Roman" w:cs="Times New Roman"/>
          <w:sz w:val="22"/>
          <w:szCs w:val="22"/>
          <w:lang w:val="en-GB"/>
        </w:rPr>
        <w:t xml:space="preserve">. </w:t>
      </w:r>
      <w:r w:rsidRPr="00C22549">
        <w:rPr>
          <w:rFonts w:ascii="Times New Roman" w:hAnsi="Times New Roman" w:cs="Times New Roman"/>
          <w:sz w:val="22"/>
          <w:szCs w:val="22"/>
          <w:lang w:val="en-GB"/>
        </w:rPr>
        <w:t>Briefly, this cohort study is a population-based cohort exploring the biological, genetic and environmental determinants of ASCVD. A non-stratified, representative sample of the population of Lausanne (Switzerland) was recruited between 2003 and 2006 based on the following inclusion criteria: (1) age 35–75 years and (2) willingness to participate. The third follow-up occurred 15 years after the baseline survey.</w:t>
      </w:r>
    </w:p>
    <w:p w14:paraId="549F894E" w14:textId="77777777" w:rsidR="00C22549" w:rsidRPr="00C22549" w:rsidRDefault="00C22549" w:rsidP="00C22549">
      <w:pPr>
        <w:pStyle w:val="Sansinterligne"/>
        <w:spacing w:line="360" w:lineRule="auto"/>
        <w:ind w:firstLine="340"/>
        <w:jc w:val="both"/>
        <w:rPr>
          <w:rFonts w:ascii="Times New Roman" w:hAnsi="Times New Roman" w:cs="Times New Roman"/>
          <w:sz w:val="22"/>
          <w:szCs w:val="22"/>
          <w:lang w:val="en-GB"/>
        </w:rPr>
      </w:pPr>
      <w:r w:rsidRPr="00C22549">
        <w:rPr>
          <w:rFonts w:ascii="Times New Roman" w:hAnsi="Times New Roman" w:cs="Times New Roman"/>
          <w:sz w:val="22"/>
          <w:szCs w:val="22"/>
          <w:lang w:val="en-GB"/>
        </w:rPr>
        <w:t>ASCVD, comprised non-fatal acute myocardial infarction (AMI), symptomatic coronary artery disease with greater than 50% stenosis treated by percutaneous coronary intervention or coronary artery bypass graft (CHD), and fatal and non-fatal ischaemic stroke (including transient ischaemic attack) were comprehensively collected and independently adjudicated.</w:t>
      </w:r>
    </w:p>
    <w:p w14:paraId="07634D75" w14:textId="77777777" w:rsidR="00C22549" w:rsidRPr="00C22549" w:rsidRDefault="00C22549" w:rsidP="00C22549">
      <w:pPr>
        <w:pStyle w:val="Sansinterligne"/>
        <w:spacing w:line="360" w:lineRule="auto"/>
        <w:ind w:firstLine="340"/>
        <w:jc w:val="both"/>
        <w:rPr>
          <w:rFonts w:ascii="Times New Roman" w:hAnsi="Times New Roman" w:cs="Times New Roman"/>
          <w:sz w:val="22"/>
          <w:szCs w:val="22"/>
          <w:lang w:val="en-GB"/>
        </w:rPr>
      </w:pPr>
      <w:r w:rsidRPr="00C22549">
        <w:rPr>
          <w:rFonts w:ascii="Times New Roman" w:hAnsi="Times New Roman" w:cs="Times New Roman"/>
          <w:sz w:val="22"/>
          <w:szCs w:val="22"/>
          <w:lang w:val="en-GB"/>
        </w:rPr>
        <w:t xml:space="preserve">Participants were invited to attend the outpatient clinic at Lausanne University Hospital for a specific interview conducted by psychologists with questions relative to drug use, </w:t>
      </w:r>
      <w:proofErr w:type="gramStart"/>
      <w:r w:rsidRPr="00C22549">
        <w:rPr>
          <w:rFonts w:ascii="Times New Roman" w:hAnsi="Times New Roman" w:cs="Times New Roman"/>
          <w:sz w:val="22"/>
          <w:szCs w:val="22"/>
          <w:lang w:val="en-GB"/>
        </w:rPr>
        <w:t>abuse</w:t>
      </w:r>
      <w:proofErr w:type="gramEnd"/>
      <w:r w:rsidRPr="00C22549">
        <w:rPr>
          <w:rFonts w:ascii="Times New Roman" w:hAnsi="Times New Roman" w:cs="Times New Roman"/>
          <w:sz w:val="22"/>
          <w:szCs w:val="22"/>
          <w:lang w:val="en-GB"/>
        </w:rPr>
        <w:t xml:space="preserve"> and dependence, constructed the </w:t>
      </w:r>
      <w:proofErr w:type="spellStart"/>
      <w:r w:rsidRPr="00C22549">
        <w:rPr>
          <w:rFonts w:ascii="Times New Roman" w:hAnsi="Times New Roman" w:cs="Times New Roman"/>
          <w:sz w:val="22"/>
          <w:szCs w:val="22"/>
          <w:lang w:val="en-GB"/>
        </w:rPr>
        <w:t>PsychoLaus</w:t>
      </w:r>
      <w:proofErr w:type="spellEnd"/>
      <w:r w:rsidRPr="00C22549">
        <w:rPr>
          <w:rFonts w:ascii="Times New Roman" w:hAnsi="Times New Roman" w:cs="Times New Roman"/>
          <w:sz w:val="22"/>
          <w:szCs w:val="22"/>
          <w:lang w:val="en-GB"/>
        </w:rPr>
        <w:t xml:space="preserve"> cohort. </w:t>
      </w:r>
    </w:p>
    <w:p w14:paraId="079F25FF" w14:textId="7C5903E3" w:rsidR="00C22549" w:rsidRPr="00C22549" w:rsidRDefault="00C22549" w:rsidP="00C22549">
      <w:pPr>
        <w:pStyle w:val="Sansinterligne"/>
        <w:spacing w:line="360" w:lineRule="auto"/>
        <w:ind w:firstLine="340"/>
        <w:jc w:val="both"/>
        <w:rPr>
          <w:rFonts w:ascii="Times New Roman" w:hAnsi="Times New Roman" w:cs="Times New Roman"/>
          <w:sz w:val="22"/>
          <w:szCs w:val="22"/>
          <w:lang w:val="en-GB"/>
        </w:rPr>
      </w:pPr>
      <w:r w:rsidRPr="00C22549">
        <w:rPr>
          <w:rFonts w:ascii="Times New Roman" w:hAnsi="Times New Roman" w:cs="Times New Roman"/>
          <w:sz w:val="22"/>
          <w:szCs w:val="22"/>
          <w:lang w:val="en-GB"/>
        </w:rPr>
        <w:t xml:space="preserve">6’770 participants were involved at baseline and </w:t>
      </w:r>
      <w:r w:rsidR="00CD538E">
        <w:rPr>
          <w:rFonts w:ascii="Times New Roman" w:hAnsi="Times New Roman" w:cs="Times New Roman"/>
          <w:sz w:val="22"/>
          <w:szCs w:val="22"/>
          <w:lang w:val="en-GB"/>
        </w:rPr>
        <w:t>5</w:t>
      </w:r>
      <w:r w:rsidR="00E87847">
        <w:rPr>
          <w:rFonts w:ascii="Times New Roman" w:hAnsi="Times New Roman" w:cs="Times New Roman"/>
          <w:sz w:val="22"/>
          <w:szCs w:val="22"/>
          <w:lang w:val="en-GB"/>
        </w:rPr>
        <w:t>’</w:t>
      </w:r>
      <w:r w:rsidR="00CD538E">
        <w:rPr>
          <w:rFonts w:ascii="Times New Roman" w:hAnsi="Times New Roman" w:cs="Times New Roman"/>
          <w:sz w:val="22"/>
          <w:szCs w:val="22"/>
          <w:lang w:val="en-GB"/>
        </w:rPr>
        <w:t>128</w:t>
      </w:r>
      <w:r w:rsidR="00207537">
        <w:rPr>
          <w:rFonts w:ascii="Times New Roman" w:hAnsi="Times New Roman" w:cs="Times New Roman"/>
          <w:sz w:val="22"/>
          <w:szCs w:val="22"/>
          <w:lang w:val="en-GB"/>
        </w:rPr>
        <w:t xml:space="preserve"> took part to the </w:t>
      </w:r>
      <w:proofErr w:type="spellStart"/>
      <w:r w:rsidR="00207537">
        <w:rPr>
          <w:rFonts w:ascii="Times New Roman" w:hAnsi="Times New Roman" w:cs="Times New Roman"/>
          <w:sz w:val="22"/>
          <w:szCs w:val="22"/>
          <w:lang w:val="en-GB"/>
        </w:rPr>
        <w:t>PsyCo</w:t>
      </w:r>
      <w:r w:rsidRPr="00C22549">
        <w:rPr>
          <w:rFonts w:ascii="Times New Roman" w:hAnsi="Times New Roman" w:cs="Times New Roman"/>
          <w:sz w:val="22"/>
          <w:szCs w:val="22"/>
          <w:lang w:val="en-GB"/>
        </w:rPr>
        <w:t>Laus</w:t>
      </w:r>
      <w:proofErr w:type="spellEnd"/>
      <w:r w:rsidRPr="00C22549">
        <w:rPr>
          <w:rFonts w:ascii="Times New Roman" w:hAnsi="Times New Roman" w:cs="Times New Roman"/>
          <w:sz w:val="22"/>
          <w:szCs w:val="22"/>
          <w:lang w:val="en-GB"/>
        </w:rPr>
        <w:t xml:space="preserve"> Cohort.  We excluded participant with </w:t>
      </w:r>
      <w:r w:rsidR="00CD538E">
        <w:rPr>
          <w:rFonts w:ascii="Times New Roman" w:hAnsi="Times New Roman" w:cs="Times New Roman"/>
          <w:sz w:val="22"/>
          <w:szCs w:val="22"/>
          <w:lang w:val="en-GB"/>
        </w:rPr>
        <w:t>miss</w:t>
      </w:r>
      <w:r w:rsidR="00E87847">
        <w:rPr>
          <w:rFonts w:ascii="Times New Roman" w:hAnsi="Times New Roman" w:cs="Times New Roman"/>
          <w:sz w:val="22"/>
          <w:szCs w:val="22"/>
          <w:lang w:val="en-GB"/>
        </w:rPr>
        <w:t>ing data at baseline (n=434), previous ASCVD (n=93) and l</w:t>
      </w:r>
      <w:r w:rsidR="00CD538E">
        <w:rPr>
          <w:rFonts w:ascii="Times New Roman" w:hAnsi="Times New Roman" w:cs="Times New Roman"/>
          <w:sz w:val="22"/>
          <w:szCs w:val="22"/>
          <w:lang w:val="en-GB"/>
        </w:rPr>
        <w:t>oss of follow-up (n=262</w:t>
      </w:r>
      <w:r w:rsidRPr="00C22549">
        <w:rPr>
          <w:rFonts w:ascii="Times New Roman" w:hAnsi="Times New Roman" w:cs="Times New Roman"/>
          <w:sz w:val="22"/>
          <w:szCs w:val="22"/>
          <w:lang w:val="en-GB"/>
        </w:rPr>
        <w:t xml:space="preserve">). </w:t>
      </w:r>
    </w:p>
    <w:p w14:paraId="1220198E" w14:textId="2BAD3F1D" w:rsidR="00C22549" w:rsidRDefault="00C22549" w:rsidP="00C22549">
      <w:pPr>
        <w:pStyle w:val="Sansinterligne"/>
        <w:spacing w:line="360" w:lineRule="auto"/>
        <w:ind w:firstLine="340"/>
        <w:jc w:val="both"/>
        <w:rPr>
          <w:rFonts w:ascii="Times New Roman" w:hAnsi="Times New Roman" w:cs="Times New Roman"/>
          <w:sz w:val="22"/>
          <w:szCs w:val="22"/>
          <w:lang w:val="en-GB"/>
        </w:rPr>
      </w:pPr>
      <w:r w:rsidRPr="00C22549">
        <w:rPr>
          <w:rFonts w:ascii="Times New Roman" w:hAnsi="Times New Roman" w:cs="Times New Roman"/>
          <w:sz w:val="22"/>
          <w:szCs w:val="22"/>
          <w:lang w:val="en-GB"/>
        </w:rPr>
        <w:t xml:space="preserve">Cox proportional hazard regressions with time of follow-up as the underlying time variable were used to test associations between cannabis use and incident ASCVD or stroke or coronary artery disease only. </w:t>
      </w:r>
      <w:r w:rsidR="00207537" w:rsidRPr="00207537">
        <w:rPr>
          <w:rFonts w:ascii="Times New Roman" w:hAnsi="Times New Roman" w:cs="Times New Roman"/>
          <w:sz w:val="22"/>
          <w:szCs w:val="22"/>
          <w:lang w:val="en-GB"/>
        </w:rPr>
        <w:t>Co-variables were demographic variables (age and sex)</w:t>
      </w:r>
      <w:r w:rsidR="00207537">
        <w:rPr>
          <w:rFonts w:ascii="Times New Roman" w:hAnsi="Times New Roman" w:cs="Times New Roman"/>
          <w:sz w:val="22"/>
          <w:szCs w:val="22"/>
          <w:lang w:val="en-GB"/>
        </w:rPr>
        <w:t xml:space="preserve"> and risk factors for ASCVD (</w:t>
      </w:r>
      <w:r w:rsidR="00FD7E88">
        <w:rPr>
          <w:rFonts w:ascii="Times New Roman" w:hAnsi="Times New Roman" w:cs="Times New Roman"/>
          <w:sz w:val="22"/>
          <w:szCs w:val="22"/>
          <w:lang w:val="en-GB"/>
        </w:rPr>
        <w:t>body mass index,</w:t>
      </w:r>
      <w:r w:rsidR="00207537">
        <w:rPr>
          <w:rFonts w:ascii="Times New Roman" w:hAnsi="Times New Roman" w:cs="Times New Roman"/>
          <w:sz w:val="22"/>
          <w:szCs w:val="22"/>
          <w:lang w:val="en-GB"/>
        </w:rPr>
        <w:t xml:space="preserve"> hypertension</w:t>
      </w:r>
      <w:r w:rsidR="00FD7E88">
        <w:rPr>
          <w:rFonts w:ascii="Times New Roman" w:hAnsi="Times New Roman" w:cs="Times New Roman"/>
          <w:sz w:val="22"/>
          <w:szCs w:val="22"/>
          <w:lang w:val="en-GB"/>
        </w:rPr>
        <w:t xml:space="preserve"> arterial</w:t>
      </w:r>
      <w:r w:rsidR="00207537">
        <w:rPr>
          <w:rFonts w:ascii="Times New Roman" w:hAnsi="Times New Roman" w:cs="Times New Roman"/>
          <w:sz w:val="22"/>
          <w:szCs w:val="22"/>
          <w:lang w:val="en-GB"/>
        </w:rPr>
        <w:t xml:space="preserve"> and diabetes mellitus)</w:t>
      </w:r>
      <w:r w:rsidR="00207537" w:rsidRPr="00207537">
        <w:rPr>
          <w:rFonts w:ascii="Times New Roman" w:hAnsi="Times New Roman" w:cs="Times New Roman"/>
          <w:sz w:val="22"/>
          <w:szCs w:val="22"/>
          <w:lang w:val="en-GB"/>
        </w:rPr>
        <w:t xml:space="preserve">.  </w:t>
      </w:r>
      <w:r w:rsidRPr="00C22549">
        <w:rPr>
          <w:rFonts w:ascii="Times New Roman" w:hAnsi="Times New Roman" w:cs="Times New Roman"/>
          <w:sz w:val="22"/>
          <w:szCs w:val="22"/>
          <w:lang w:val="en-GB"/>
        </w:rPr>
        <w:t>Outcomes were censored if a participant was lost to follow-up, died from a non-cardiovascular cause, or if the end of available follow-up was reached.</w:t>
      </w:r>
    </w:p>
    <w:p w14:paraId="65ECFD74" w14:textId="1A53943E" w:rsidR="00FB5850" w:rsidRDefault="00FB5850" w:rsidP="00C22549">
      <w:pPr>
        <w:pStyle w:val="Sansinterligne"/>
        <w:spacing w:line="360" w:lineRule="auto"/>
        <w:ind w:firstLine="340"/>
        <w:jc w:val="both"/>
        <w:rPr>
          <w:rFonts w:ascii="Times New Roman" w:hAnsi="Times New Roman" w:cs="Times New Roman"/>
          <w:sz w:val="22"/>
          <w:szCs w:val="22"/>
          <w:lang w:val="en-GB"/>
        </w:rPr>
      </w:pPr>
    </w:p>
    <w:p w14:paraId="4A169FC6" w14:textId="261421AF" w:rsidR="00373CB0" w:rsidRPr="00FB5850" w:rsidRDefault="00FB5850" w:rsidP="00FB5850">
      <w:pPr>
        <w:pStyle w:val="Sansinterligne"/>
        <w:rPr>
          <w:rFonts w:ascii="Times New Roman" w:hAnsi="Times New Roman" w:cs="Times New Roman"/>
          <w:sz w:val="22"/>
          <w:szCs w:val="22"/>
          <w:lang w:val="en-US"/>
        </w:rPr>
      </w:pPr>
      <w:r>
        <w:rPr>
          <w:rFonts w:ascii="Times New Roman" w:hAnsi="Times New Roman" w:cs="Times New Roman"/>
          <w:b/>
          <w:sz w:val="22"/>
          <w:szCs w:val="22"/>
          <w:lang w:val="en-US"/>
        </w:rPr>
        <w:t>G</w:t>
      </w:r>
      <w:r w:rsidRPr="00FB5850">
        <w:rPr>
          <w:rFonts w:ascii="Times New Roman" w:hAnsi="Times New Roman" w:cs="Times New Roman"/>
          <w:b/>
          <w:sz w:val="22"/>
          <w:szCs w:val="22"/>
          <w:lang w:val="en-US"/>
        </w:rPr>
        <w:t>enome-wide association study meta-analysis of cannabis use disorder</w:t>
      </w:r>
    </w:p>
    <w:p w14:paraId="19DB05AD" w14:textId="311B8AA0" w:rsidR="00492E9F" w:rsidRDefault="00FB5850" w:rsidP="002937D3">
      <w:pPr>
        <w:pStyle w:val="Sansinterligne"/>
        <w:spacing w:line="360" w:lineRule="auto"/>
        <w:ind w:firstLine="340"/>
        <w:jc w:val="both"/>
        <w:rPr>
          <w:rFonts w:ascii="Times New Roman" w:hAnsi="Times New Roman" w:cs="Times New Roman"/>
          <w:sz w:val="22"/>
          <w:szCs w:val="22"/>
          <w:lang w:val="en-US"/>
        </w:rPr>
      </w:pPr>
      <w:r w:rsidRPr="00FB5850">
        <w:rPr>
          <w:rFonts w:ascii="Times New Roman" w:hAnsi="Times New Roman" w:cs="Times New Roman"/>
          <w:sz w:val="22"/>
          <w:szCs w:val="22"/>
          <w:lang w:val="en-US"/>
        </w:rPr>
        <w:t xml:space="preserve">We used summary-level data from the publicly available GWAS </w:t>
      </w:r>
      <w:r w:rsidR="00FD72B3">
        <w:rPr>
          <w:rFonts w:ascii="Times New Roman" w:hAnsi="Times New Roman" w:cs="Times New Roman"/>
          <w:sz w:val="22"/>
          <w:szCs w:val="22"/>
          <w:lang w:val="en-US"/>
        </w:rPr>
        <w:t>of Johnson et al, comprising 374’287 European</w:t>
      </w:r>
      <w:r w:rsidRPr="00FB5850">
        <w:rPr>
          <w:rFonts w:ascii="Times New Roman" w:hAnsi="Times New Roman" w:cs="Times New Roman"/>
          <w:sz w:val="22"/>
          <w:szCs w:val="22"/>
          <w:lang w:val="en-US"/>
        </w:rPr>
        <w:t xml:space="preserve"> participants, which explained phenotype defined as </w:t>
      </w:r>
      <w:r w:rsidR="00FD72B3">
        <w:rPr>
          <w:rFonts w:ascii="Times New Roman" w:hAnsi="Times New Roman" w:cs="Times New Roman"/>
          <w:sz w:val="22"/>
          <w:szCs w:val="22"/>
          <w:lang w:val="en-US"/>
        </w:rPr>
        <w:t>a lifetime diagnosis of cannabis abuse or dependence (according to DSM-IV or ICD_10)</w:t>
      </w:r>
      <w:r>
        <w:rPr>
          <w:rFonts w:ascii="Times New Roman" w:hAnsi="Times New Roman" w:cs="Times New Roman"/>
          <w:sz w:val="22"/>
          <w:szCs w:val="22"/>
          <w:lang w:val="en-US"/>
        </w:rPr>
        <w:t xml:space="preserve">. The GWAS was performed of 20 samples (18 from the Psychiatric Genomic Consortium Substance Use Disorder </w:t>
      </w:r>
      <w:r w:rsidR="00FD72B3">
        <w:rPr>
          <w:rFonts w:ascii="Times New Roman" w:hAnsi="Times New Roman" w:cs="Times New Roman"/>
          <w:sz w:val="22"/>
          <w:szCs w:val="22"/>
          <w:lang w:val="en-US"/>
        </w:rPr>
        <w:t xml:space="preserve">working group, on from </w:t>
      </w:r>
      <w:proofErr w:type="spellStart"/>
      <w:r w:rsidR="00FD72B3">
        <w:rPr>
          <w:rFonts w:ascii="Times New Roman" w:hAnsi="Times New Roman" w:cs="Times New Roman"/>
          <w:sz w:val="22"/>
          <w:szCs w:val="22"/>
          <w:lang w:val="en-US"/>
        </w:rPr>
        <w:t>iPSYCH</w:t>
      </w:r>
      <w:proofErr w:type="spellEnd"/>
      <w:r w:rsidR="00FD72B3">
        <w:rPr>
          <w:rFonts w:ascii="Times New Roman" w:hAnsi="Times New Roman" w:cs="Times New Roman"/>
          <w:sz w:val="22"/>
          <w:szCs w:val="22"/>
          <w:lang w:val="en-US"/>
        </w:rPr>
        <w:t xml:space="preserve"> and one from </w:t>
      </w:r>
      <w:proofErr w:type="spellStart"/>
      <w:r w:rsidR="00FD72B3">
        <w:rPr>
          <w:rFonts w:ascii="Times New Roman" w:hAnsi="Times New Roman" w:cs="Times New Roman"/>
          <w:sz w:val="22"/>
          <w:szCs w:val="22"/>
          <w:lang w:val="en-US"/>
        </w:rPr>
        <w:t>decoDE</w:t>
      </w:r>
      <w:proofErr w:type="spellEnd"/>
      <w:r w:rsidR="00FD72B3">
        <w:rPr>
          <w:rFonts w:ascii="Times New Roman" w:hAnsi="Times New Roman" w:cs="Times New Roman"/>
          <w:sz w:val="22"/>
          <w:szCs w:val="22"/>
          <w:lang w:val="en-US"/>
        </w:rPr>
        <w:t>,</w:t>
      </w:r>
      <w:r w:rsidRPr="00FB5850">
        <w:rPr>
          <w:rFonts w:ascii="Times New Roman" w:hAnsi="Times New Roman" w:cs="Times New Roman"/>
          <w:sz w:val="22"/>
          <w:szCs w:val="22"/>
          <w:lang w:val="en-US"/>
        </w:rPr>
        <w:t xml:space="preserve"> </w:t>
      </w:r>
      <w:r w:rsidRPr="004A0FA1">
        <w:rPr>
          <w:rFonts w:ascii="Times New Roman" w:hAnsi="Times New Roman" w:cs="Times New Roman"/>
          <w:sz w:val="22"/>
          <w:szCs w:val="22"/>
          <w:lang w:val="en-US"/>
        </w:rPr>
        <w:t xml:space="preserve">More information about recruitment, measurement instruments and phrasing of the questions about lifetime cannabis use can be found in the supplementary material of </w:t>
      </w:r>
      <w:r w:rsidR="004A0FA1">
        <w:rPr>
          <w:rFonts w:ascii="Times New Roman" w:hAnsi="Times New Roman" w:cs="Times New Roman"/>
          <w:sz w:val="22"/>
          <w:szCs w:val="22"/>
          <w:lang w:val="en-US"/>
        </w:rPr>
        <w:t>J</w:t>
      </w:r>
      <w:r w:rsidR="000131BE">
        <w:rPr>
          <w:rFonts w:ascii="Times New Roman" w:hAnsi="Times New Roman" w:cs="Times New Roman"/>
          <w:sz w:val="22"/>
          <w:szCs w:val="22"/>
          <w:lang w:val="en-US"/>
        </w:rPr>
        <w:t>ohnson et al.</w:t>
      </w:r>
      <w:r w:rsidR="000131BE">
        <w:rPr>
          <w:rFonts w:ascii="Times New Roman" w:hAnsi="Times New Roman" w:cs="Times New Roman"/>
          <w:sz w:val="22"/>
          <w:szCs w:val="22"/>
          <w:lang w:val="en-US"/>
        </w:rPr>
        <w:fldChar w:fldCharType="begin"/>
      </w:r>
      <w:r w:rsidR="00B30573">
        <w:rPr>
          <w:rFonts w:ascii="Times New Roman" w:hAnsi="Times New Roman" w:cs="Times New Roman"/>
          <w:sz w:val="22"/>
          <w:szCs w:val="22"/>
          <w:lang w:val="en-US"/>
        </w:rPr>
        <w:instrText xml:space="preserve"> ADDIN ZOTERO_ITEM CSL_CITATION {"citationID":"2bpubwHv","properties":{"formattedCitation":"[7]","plainCitation":"[7]","noteIndex":0},"citationItems":[{"id":56,"uris":["http://zotero.org/users/local/zfL9pym4/items/AD62AT4G"],"itemData":{"id":56,"type":"article-journal","abstract":"Background\nVariation in liability to cannabis use disorder has a strong genetic component (estimated twin and family heritability about 50–70%) and is associated with negative outcomes, including increased risk of psychopathology. The aim of the study was to conduct a large genome-wide association study (GWAS) to identify novel genetic variants associated with cannabis use disorder.\n\nMethods\nTo conduct this GWAS meta-analysis of cannabis use disorder and identify associations with genetic loci, we used samples from the Psychiatric Genomics Consortium Substance Use Disorders working group, iPSYCH, and deCODE (20 916 case samples, 363 116 control samples in total), contrasting cannabis use disorder cases with controls. To examine the genetic overlap between cannabis use disorder and 22 traits of interest (chosen because of previously published phenotypic correlations [eg, psychiatric disorders] or hypothesised associations [eg, chronotype] with cannabis use disorder), we used linkage disequilibrium score regression to calculate genetic correlations.\n\nFindings\nWe identified two genome-wide significant loci: a novel chromosome 7 locus (FOXP2, lead single-nucleotide polymorphism [SNP] rs7783012; odds ratio [OR] 1·11, 95% CI 1·07–1·15, p=1·84 × 10−9) and the previously identified chromosome 8 locus (near CHRNA2 and EPHX2, lead SNP rs4732724; OR 0·89, 95% CI 0·86–0·93, p=6·46 × 10−9). Cannabis use disorder and cannabis use were genetically correlated (rg 0·50, p=1·50 × 10−21), but they showed significantly different genetic correlations with 12 of the 22 traits we tested, suggesting at least partially different genetic underpinnings of cannabis use and cannabis use disorder. Cannabis use disorder was positively genetically correlated with other psychopathology, including ADHD, major depression, and schizophrenia.\n\nInterpretation\nThese findings support the theory that cannabis use disorder has shared genetic liability with other psychopathology, and there is a distinction between genetic liability to cannabis use and cannabis use disorder.\n\nFunding\nNational Institute of Mental Health; National Institute on Alcohol Abuse and Alcoholism; National Institute on Drug Abuse; Center for Genomics and Personalized Medicine and the Centre for Integrative Sequencing; The European Commission, Horizon 2020; National Institute of Child Health and Human Development; Health Research Council of New Zealand; National Institute on Aging; Wellcome Trust Case Control Consortium; UK Research and Innovation Medical Research Council (UKRI MRC); The Brain &amp; Behavior Research Foundation; National Institute on Deafness and Other Communication Disorders; Substance Abuse and Mental Health Services Administration (SAMHSA); National Institute of Biomedical Imaging and Bioengineering; National Health and Medical Research Council (NHMRC) Australia; Tobacco-Related Disease Research Program of the University of California; Families for Borderline Personality Disorder Research (Beth and Rob Elliott) 2018 NARSAD Young Investigator Grant; The National Child Health Research Foundation (Cure Kids); The Canterbury Medical Research Foundation; The New Zealand Lottery Grants Board; The University of Otago; The Carney Centre for Pharmacogenomics; The James Hume Bequest Fund; National Institutes of Health: Genes, Environment and Health Initiative; National Institutes of Health; National Cancer Institute; The William T Grant Foundation; Australian Research Council; The Virginia Tobacco Settlement Foundation; The VISN 1 and VISN 4 Mental Illness Research, Education, and Clinical Centers of the US Department of Veterans Affairs; The 5th Framework Programme (FP-5) GenomEUtwin Project; The Lundbeck Foundation; NIH-funded Shared Instrumentation Grant S10RR025141; Clinical Translational Sciences Award grants; National Institute of Neurological Disorders and Stroke; National Heart, Lung, and Blood Institute; National Institute of General Medical Sciences.","container-title":"The Lancet. Psychiatry","DOI":"10.1016/S2215-0366(20)30339-4","ISSN":"2215-0366","issue":"12","journalAbbreviation":"Lancet Psychiatry","note":"PMID: 33096046\nPMCID: PMC7674631","page":"1032-1045","source":"PubMed Central","title":"A large-scale genome-wide association study meta-analysis of cannabis use disorder","volume":"7","author":[{"family":"Johnson","given":"Emma C"},{"family":"Demontis","given":"Ditte"},{"family":"Thorgeirsson","given":"Thorgeir E"},{"family":"Walters","given":"Raymond K"},{"family":"Polimanti","given":"Renato"},{"family":"Hatoum","given":"Alexander S"},{"family":"Sanchez-Roige","given":"Sandra"},{"family":"Paul","given":"Sarah E"},{"family":"Wendt","given":"Frank R"},{"family":"Clarke","given":"Toni-Kim"},{"family":"Lai","given":"Dongbing"},{"family":"Reginsson","given":"Gunnar W"},{"family":"Zhou","given":"Hang"},{"family":"He","given":"June"},{"family":"Baranger","given":"David A A"},{"family":"Gudbjartsson","given":"Daniel F"},{"family":"Wedow","given":"Robbee"},{"family":"Adkins","given":"Daniel E"},{"family":"Adkins","given":"Amy E"},{"family":"Alexander","given":"Jeffry"},{"family":"Bacanu","given":"Silviu-Alin"},{"family":"Bigdeli","given":"Tim B"},{"family":"Boden","given":"Joseph"},{"family":"Brown","given":"Sandra A"},{"family":"Bucholz","given":"Kathleen K"},{"family":"Bybjerg-Grauholm","given":"Jonas"},{"family":"Corley","given":"Robin P"},{"family":"Degenhardt","given":"Louisa"},{"family":"Dick","given":"Danielle M"},{"family":"Domingue","given":"Benjamin W"},{"family":"Fox","given":"Louis"},{"family":"Goate","given":"Alison M"},{"family":"Gordon","given":"Scott D"},{"family":"Hack","given":"Laura M"},{"family":"Hancock","given":"Dana B"},{"family":"Hartz","given":"Sarah M"},{"family":"Hickie","given":"Ian B"},{"family":"Hougaard","given":"David M"},{"family":"Krauter","given":"Kenneth"},{"family":"Lind","given":"Penelope A"},{"family":"McClintick","given":"Jeanette N"},{"family":"McQueen","given":"Matthew B"},{"family":"Meyers","given":"Jacquelyn L"},{"family":"Montgomery","given":"Grant W"},{"family":"Mors","given":"Ole"},{"family":"Mortensen","given":"Preben B"},{"family":"Nordentoft","given":"Merete"},{"family":"Pearson","given":"John F"},{"family":"Peterson","given":"Roseann E"},{"family":"Reynolds","given":"Maureen D"},{"family":"Rice","given":"John P"},{"family":"Runarsdottir","given":"Valgerdur"},{"family":"Saccone","given":"Nancy L"},{"family":"Sherva","given":"Richard"},{"family":"Silberg","given":"Judy L"},{"family":"Tarter","given":"Ralph E"},{"family":"Tyrfingsson","given":"Thorarinn"},{"family":"Wall","given":"Tamara L"},{"family":"Webb","given":"Bradley T"},{"family":"Werge","given":"Thomas"},{"family":"Wetherill","given":"Leah"},{"family":"Wright","given":"Margaret J"},{"family":"Zellers","given":"Stephanie"},{"family":"Adams","given":"Mark J"},{"family":"Bierut","given":"Laura J"},{"family":"Boardman","given":"Jason D"},{"family":"Copeland","given":"William E"},{"family":"Farrer","given":"Lindsay A"},{"family":"Foroud","given":"Tatiana M"},{"family":"Gillespie","given":"Nathan A"},{"family":"Grucza","given":"Richard A"},{"family":"Harris","given":"Kathleen Mullan"},{"family":"Heath","given":"Andrew C"},{"family":"Hesselbrock","given":"Victor"},{"family":"Hewitt","given":"John K"},{"family":"Hopfer","given":"Christian J"},{"family":"Horwood","given":"John"},{"family":"Iacono","given":"William G"},{"family":"Johnson","given":"Eric O"},{"family":"Kendler","given":"Kenneth S"},{"family":"Kennedy","given":"Martin A"},{"family":"Kranzler","given":"Henry R"},{"family":"Madden","given":"Pamela A F"},{"family":"Maes","given":"Hermine H"},{"family":"Maher","given":"Brion S"},{"family":"Martin","given":"Nicholas G"},{"family":"McGue","given":"Matthew"},{"family":"McIntosh","given":"Andrew M"},{"family":"Medland","given":"Sarah E"},{"family":"Nelson","given":"Elliot C"},{"family":"Porjesz","given":"Bernice"},{"family":"Riley","given":"Brien P"},{"family":"Stallings","given":"Michael C"},{"family":"Vanyukov","given":"Michael M"},{"family":"Vrieze","given":"Scott"},{"family":"Davis","given":"Lea K"},{"family":"Bogdan","given":"Ryan"},{"family":"Gelernter","given":"Joel"},{"family":"Edenberg","given":"Howard J"},{"family":"Stefansson","given":"Kari"},{"family":"Børglum","given":"Anders D"},{"family":"Agrawal","given":"Arpana"}],"issued":{"date-parts":[["2020",12]]}}}],"schema":"https://github.com/citation-style-language/schema/raw/master/csl-citation.json"} </w:instrText>
      </w:r>
      <w:r w:rsidR="000131BE">
        <w:rPr>
          <w:rFonts w:ascii="Times New Roman" w:hAnsi="Times New Roman" w:cs="Times New Roman"/>
          <w:sz w:val="22"/>
          <w:szCs w:val="22"/>
          <w:lang w:val="en-US"/>
        </w:rPr>
        <w:fldChar w:fldCharType="separate"/>
      </w:r>
      <w:r w:rsidR="00B30573" w:rsidRPr="00B30573">
        <w:rPr>
          <w:rFonts w:ascii="Times New Roman" w:hAnsi="Times New Roman" w:cs="Times New Roman"/>
          <w:sz w:val="22"/>
          <w:lang w:val="en-US"/>
        </w:rPr>
        <w:t>[7]</w:t>
      </w:r>
      <w:r w:rsidR="000131BE">
        <w:rPr>
          <w:rFonts w:ascii="Times New Roman" w:hAnsi="Times New Roman" w:cs="Times New Roman"/>
          <w:sz w:val="22"/>
          <w:szCs w:val="22"/>
          <w:lang w:val="en-US"/>
        </w:rPr>
        <w:fldChar w:fldCharType="end"/>
      </w:r>
      <w:r w:rsidR="00B5517B">
        <w:rPr>
          <w:rFonts w:ascii="Times New Roman" w:hAnsi="Times New Roman" w:cs="Times New Roman"/>
          <w:sz w:val="22"/>
          <w:szCs w:val="22"/>
          <w:lang w:val="en-US"/>
        </w:rPr>
        <w:t xml:space="preserve"> </w:t>
      </w:r>
      <w:r w:rsidR="002937D3" w:rsidRPr="002937D3">
        <w:rPr>
          <w:rFonts w:ascii="Times New Roman" w:hAnsi="Times New Roman" w:cs="Times New Roman"/>
          <w:sz w:val="22"/>
          <w:szCs w:val="22"/>
          <w:lang w:val="en-US"/>
        </w:rPr>
        <w:t>We selected SNPs with p-value that were associated with cannabis use disorder (p-value&lt;5x10</w:t>
      </w:r>
      <w:r w:rsidR="002937D3" w:rsidRPr="002937D3">
        <w:rPr>
          <w:rFonts w:ascii="Times New Roman" w:hAnsi="Times New Roman" w:cs="Times New Roman"/>
          <w:sz w:val="22"/>
          <w:szCs w:val="22"/>
          <w:vertAlign w:val="superscript"/>
          <w:lang w:val="en-US"/>
        </w:rPr>
        <w:t>-5</w:t>
      </w:r>
      <w:r w:rsidR="002937D3" w:rsidRPr="002937D3">
        <w:rPr>
          <w:rFonts w:ascii="Times New Roman" w:hAnsi="Times New Roman" w:cs="Times New Roman"/>
          <w:sz w:val="22"/>
          <w:szCs w:val="22"/>
          <w:lang w:val="en-US"/>
        </w:rPr>
        <w:t xml:space="preserve">) and in </w:t>
      </w:r>
      <w:r w:rsidR="002937D3" w:rsidRPr="002937D3">
        <w:rPr>
          <w:rFonts w:ascii="Times New Roman" w:hAnsi="Times New Roman" w:cs="Times New Roman"/>
          <w:sz w:val="22"/>
          <w:szCs w:val="22"/>
          <w:lang w:val="en-US"/>
        </w:rPr>
        <w:lastRenderedPageBreak/>
        <w:t>low linkage-di</w:t>
      </w:r>
      <w:r w:rsidR="00AB0AAE">
        <w:rPr>
          <w:rFonts w:ascii="Times New Roman" w:hAnsi="Times New Roman" w:cs="Times New Roman"/>
          <w:sz w:val="22"/>
          <w:szCs w:val="22"/>
          <w:lang w:val="en-US"/>
        </w:rPr>
        <w:t>sequilibrium with other SNPs (R</w:t>
      </w:r>
      <w:r w:rsidR="00AB0AAE">
        <w:rPr>
          <w:rFonts w:ascii="Times New Roman" w:hAnsi="Times New Roman" w:cs="Times New Roman"/>
          <w:sz w:val="22"/>
          <w:szCs w:val="22"/>
          <w:vertAlign w:val="superscript"/>
          <w:lang w:val="en-US"/>
        </w:rPr>
        <w:t>2</w:t>
      </w:r>
      <w:r w:rsidR="002937D3" w:rsidRPr="002937D3">
        <w:rPr>
          <w:rFonts w:ascii="Times New Roman" w:hAnsi="Times New Roman" w:cs="Times New Roman"/>
          <w:sz w:val="22"/>
          <w:szCs w:val="22"/>
          <w:lang w:val="en-US"/>
        </w:rPr>
        <w:t xml:space="preserve"> &lt; 0.001) within a clumping distance of 10,000 kb. Palindromic SNPs with intermediate minor allele frequency were removed because we cannot assumed that all alleles were correctly reported in the positive strand in cannabis use disorder GWAS. A more restricted threshold with p-value &lt;5x10</w:t>
      </w:r>
      <w:r w:rsidR="002937D3" w:rsidRPr="002937D3">
        <w:rPr>
          <w:rFonts w:ascii="Times New Roman" w:hAnsi="Times New Roman" w:cs="Times New Roman"/>
          <w:sz w:val="22"/>
          <w:szCs w:val="22"/>
          <w:vertAlign w:val="superscript"/>
          <w:lang w:val="en-US"/>
        </w:rPr>
        <w:t>-8</w:t>
      </w:r>
      <w:r w:rsidR="002937D3" w:rsidRPr="002937D3">
        <w:rPr>
          <w:rFonts w:ascii="Times New Roman" w:hAnsi="Times New Roman" w:cs="Times New Roman"/>
          <w:sz w:val="22"/>
          <w:szCs w:val="22"/>
          <w:lang w:val="en-US"/>
        </w:rPr>
        <w:t xml:space="preserve"> was initially computed but only 2 SNPs remained, which was not sufficient for two-sample </w:t>
      </w:r>
      <w:r w:rsidR="002937D3">
        <w:rPr>
          <w:rFonts w:ascii="Times New Roman" w:hAnsi="Times New Roman" w:cs="Times New Roman"/>
          <w:sz w:val="22"/>
          <w:szCs w:val="22"/>
          <w:lang w:val="en-US"/>
        </w:rPr>
        <w:t>MR</w:t>
      </w:r>
      <w:r w:rsidR="002937D3" w:rsidRPr="002937D3">
        <w:rPr>
          <w:rFonts w:ascii="Times New Roman" w:hAnsi="Times New Roman" w:cs="Times New Roman"/>
          <w:sz w:val="22"/>
          <w:szCs w:val="22"/>
          <w:lang w:val="en-US"/>
        </w:rPr>
        <w:t xml:space="preserve"> analysis</w:t>
      </w:r>
      <w:r w:rsidR="00EB4C90">
        <w:rPr>
          <w:rFonts w:ascii="Times New Roman" w:hAnsi="Times New Roman" w:cs="Times New Roman"/>
          <w:sz w:val="22"/>
          <w:szCs w:val="22"/>
          <w:lang w:val="en-US"/>
        </w:rPr>
        <w:t xml:space="preserve"> (see Supplementary Table 10). </w:t>
      </w:r>
    </w:p>
    <w:p w14:paraId="08A1E76E" w14:textId="58403A16" w:rsidR="008964D7" w:rsidRPr="008964D7" w:rsidRDefault="008964D7" w:rsidP="008964D7">
      <w:pPr>
        <w:pStyle w:val="Sansinterligne"/>
        <w:spacing w:line="360" w:lineRule="auto"/>
        <w:jc w:val="both"/>
        <w:rPr>
          <w:rFonts w:ascii="Times New Roman" w:hAnsi="Times New Roman" w:cs="Times New Roman"/>
          <w:b/>
          <w:bCs/>
          <w:sz w:val="22"/>
          <w:szCs w:val="22"/>
          <w:lang w:val="en-US"/>
        </w:rPr>
      </w:pPr>
    </w:p>
    <w:p w14:paraId="5C585638" w14:textId="0431F8F8" w:rsidR="008964D7" w:rsidRDefault="008964D7" w:rsidP="008964D7">
      <w:pPr>
        <w:pStyle w:val="Sansinterligne"/>
        <w:spacing w:line="360" w:lineRule="auto"/>
        <w:jc w:val="both"/>
        <w:rPr>
          <w:rFonts w:ascii="Times New Roman" w:hAnsi="Times New Roman" w:cs="Times New Roman"/>
          <w:b/>
          <w:bCs/>
          <w:sz w:val="22"/>
          <w:szCs w:val="22"/>
          <w:lang w:val="en-US"/>
        </w:rPr>
      </w:pPr>
      <w:r w:rsidRPr="008964D7">
        <w:rPr>
          <w:rFonts w:ascii="Times New Roman" w:hAnsi="Times New Roman" w:cs="Times New Roman"/>
          <w:b/>
          <w:bCs/>
          <w:sz w:val="22"/>
          <w:szCs w:val="22"/>
          <w:lang w:val="en-US"/>
        </w:rPr>
        <w:t>References</w:t>
      </w:r>
    </w:p>
    <w:p w14:paraId="267BB879" w14:textId="77777777" w:rsidR="008964D7" w:rsidRPr="008964D7" w:rsidRDefault="008964D7" w:rsidP="008964D7">
      <w:pPr>
        <w:pStyle w:val="Bibliographie"/>
        <w:jc w:val="both"/>
        <w:rPr>
          <w:rFonts w:ascii="Times New Roman" w:hAnsi="Times New Roman" w:cs="Times New Roman"/>
          <w:sz w:val="22"/>
          <w:lang w:val="en-US"/>
        </w:rPr>
      </w:pPr>
      <w:r>
        <w:rPr>
          <w:b/>
          <w:bCs/>
          <w:sz w:val="22"/>
          <w:szCs w:val="22"/>
          <w:lang w:val="en-US"/>
        </w:rPr>
        <w:fldChar w:fldCharType="begin"/>
      </w:r>
      <w:r>
        <w:rPr>
          <w:b/>
          <w:bCs/>
          <w:sz w:val="22"/>
          <w:szCs w:val="22"/>
          <w:lang w:val="en-US"/>
        </w:rPr>
        <w:instrText xml:space="preserve"> ADDIN ZOTERO_BIBL {"uncited":[],"omitted":[],"custom":[]} CSL_BIBLIOGRAPHY </w:instrText>
      </w:r>
      <w:r>
        <w:rPr>
          <w:b/>
          <w:bCs/>
          <w:sz w:val="22"/>
          <w:szCs w:val="22"/>
          <w:lang w:val="en-US"/>
        </w:rPr>
        <w:fldChar w:fldCharType="separate"/>
      </w:r>
      <w:r w:rsidRPr="008964D7">
        <w:rPr>
          <w:rFonts w:ascii="Times New Roman" w:hAnsi="Times New Roman" w:cs="Times New Roman"/>
          <w:sz w:val="22"/>
          <w:lang w:val="en-US"/>
        </w:rPr>
        <w:t xml:space="preserve">1. </w:t>
      </w:r>
      <w:r w:rsidRPr="008964D7">
        <w:rPr>
          <w:rFonts w:ascii="Times New Roman" w:hAnsi="Times New Roman" w:cs="Times New Roman"/>
          <w:sz w:val="22"/>
          <w:lang w:val="en-US"/>
        </w:rPr>
        <w:tab/>
        <w:t xml:space="preserve">Ross S, Gerstein HC, </w:t>
      </w:r>
      <w:proofErr w:type="spellStart"/>
      <w:r w:rsidRPr="008964D7">
        <w:rPr>
          <w:rFonts w:ascii="Times New Roman" w:hAnsi="Times New Roman" w:cs="Times New Roman"/>
          <w:sz w:val="22"/>
          <w:lang w:val="en-US"/>
        </w:rPr>
        <w:t>Eikelboom</w:t>
      </w:r>
      <w:proofErr w:type="spellEnd"/>
      <w:r w:rsidRPr="008964D7">
        <w:rPr>
          <w:rFonts w:ascii="Times New Roman" w:hAnsi="Times New Roman" w:cs="Times New Roman"/>
          <w:sz w:val="22"/>
          <w:lang w:val="en-US"/>
        </w:rPr>
        <w:t xml:space="preserve"> J, Anand SS, Yusuf S, </w:t>
      </w:r>
      <w:proofErr w:type="spellStart"/>
      <w:r w:rsidRPr="008964D7">
        <w:rPr>
          <w:rFonts w:ascii="Times New Roman" w:hAnsi="Times New Roman" w:cs="Times New Roman"/>
          <w:sz w:val="22"/>
          <w:lang w:val="en-US"/>
        </w:rPr>
        <w:t>Paré</w:t>
      </w:r>
      <w:proofErr w:type="spellEnd"/>
      <w:r w:rsidRPr="008964D7">
        <w:rPr>
          <w:rFonts w:ascii="Times New Roman" w:hAnsi="Times New Roman" w:cs="Times New Roman"/>
          <w:sz w:val="22"/>
          <w:lang w:val="en-US"/>
        </w:rPr>
        <w:t xml:space="preserve"> G. Mendelian randomization analysis supports the causal role of </w:t>
      </w:r>
      <w:proofErr w:type="spellStart"/>
      <w:r w:rsidRPr="008964D7">
        <w:rPr>
          <w:rFonts w:ascii="Times New Roman" w:hAnsi="Times New Roman" w:cs="Times New Roman"/>
          <w:sz w:val="22"/>
          <w:lang w:val="en-US"/>
        </w:rPr>
        <w:t>dysglycaemia</w:t>
      </w:r>
      <w:proofErr w:type="spellEnd"/>
      <w:r w:rsidRPr="008964D7">
        <w:rPr>
          <w:rFonts w:ascii="Times New Roman" w:hAnsi="Times New Roman" w:cs="Times New Roman"/>
          <w:sz w:val="22"/>
          <w:lang w:val="en-US"/>
        </w:rPr>
        <w:t xml:space="preserve"> and diabetes in the risk of coronary artery disease. </w:t>
      </w:r>
      <w:proofErr w:type="spellStart"/>
      <w:r w:rsidRPr="008964D7">
        <w:rPr>
          <w:rFonts w:ascii="Times New Roman" w:hAnsi="Times New Roman" w:cs="Times New Roman"/>
          <w:sz w:val="22"/>
          <w:lang w:val="en-US"/>
        </w:rPr>
        <w:t>Eur</w:t>
      </w:r>
      <w:proofErr w:type="spellEnd"/>
      <w:r w:rsidRPr="008964D7">
        <w:rPr>
          <w:rFonts w:ascii="Times New Roman" w:hAnsi="Times New Roman" w:cs="Times New Roman"/>
          <w:sz w:val="22"/>
          <w:lang w:val="en-US"/>
        </w:rPr>
        <w:t xml:space="preserve"> Heart J. 2015 Jun 14;36(23):1454–62. </w:t>
      </w:r>
    </w:p>
    <w:p w14:paraId="7360C050" w14:textId="77777777" w:rsidR="008964D7" w:rsidRPr="008964D7" w:rsidRDefault="008964D7" w:rsidP="008964D7">
      <w:pPr>
        <w:pStyle w:val="Bibliographie"/>
        <w:jc w:val="both"/>
        <w:rPr>
          <w:rFonts w:ascii="Times New Roman" w:hAnsi="Times New Roman" w:cs="Times New Roman"/>
          <w:sz w:val="22"/>
          <w:lang w:val="en-US"/>
        </w:rPr>
      </w:pPr>
      <w:r w:rsidRPr="008964D7">
        <w:rPr>
          <w:rFonts w:ascii="Times New Roman" w:hAnsi="Times New Roman" w:cs="Times New Roman"/>
          <w:sz w:val="22"/>
          <w:lang w:val="en-US"/>
        </w:rPr>
        <w:t xml:space="preserve">2. </w:t>
      </w:r>
      <w:r w:rsidRPr="008964D7">
        <w:rPr>
          <w:rFonts w:ascii="Times New Roman" w:hAnsi="Times New Roman" w:cs="Times New Roman"/>
          <w:sz w:val="22"/>
          <w:lang w:val="en-US"/>
        </w:rPr>
        <w:tab/>
        <w:t xml:space="preserve">Vaucher HB Nadine </w:t>
      </w:r>
      <w:proofErr w:type="spellStart"/>
      <w:r w:rsidRPr="008964D7">
        <w:rPr>
          <w:rFonts w:ascii="Times New Roman" w:hAnsi="Times New Roman" w:cs="Times New Roman"/>
          <w:sz w:val="22"/>
          <w:lang w:val="en-US"/>
        </w:rPr>
        <w:t>Hausler</w:t>
      </w:r>
      <w:proofErr w:type="spellEnd"/>
      <w:r w:rsidRPr="008964D7">
        <w:rPr>
          <w:rFonts w:ascii="Times New Roman" w:hAnsi="Times New Roman" w:cs="Times New Roman"/>
          <w:sz w:val="22"/>
          <w:lang w:val="en-US"/>
        </w:rPr>
        <w:t xml:space="preserve">, David </w:t>
      </w:r>
      <w:proofErr w:type="spellStart"/>
      <w:r w:rsidRPr="008964D7">
        <w:rPr>
          <w:rFonts w:ascii="Times New Roman" w:hAnsi="Times New Roman" w:cs="Times New Roman"/>
          <w:sz w:val="22"/>
          <w:lang w:val="en-US"/>
        </w:rPr>
        <w:t>Nanchen</w:t>
      </w:r>
      <w:proofErr w:type="spellEnd"/>
      <w:r w:rsidRPr="008964D7">
        <w:rPr>
          <w:rFonts w:ascii="Times New Roman" w:hAnsi="Times New Roman" w:cs="Times New Roman"/>
          <w:sz w:val="22"/>
          <w:lang w:val="en-US"/>
        </w:rPr>
        <w:t xml:space="preserve">, Marie </w:t>
      </w:r>
      <w:proofErr w:type="spellStart"/>
      <w:r w:rsidRPr="008964D7">
        <w:rPr>
          <w:rFonts w:ascii="Times New Roman" w:hAnsi="Times New Roman" w:cs="Times New Roman"/>
          <w:sz w:val="22"/>
          <w:lang w:val="en-US"/>
        </w:rPr>
        <w:t>Méan</w:t>
      </w:r>
      <w:proofErr w:type="spellEnd"/>
      <w:r w:rsidRPr="008964D7">
        <w:rPr>
          <w:rFonts w:ascii="Times New Roman" w:hAnsi="Times New Roman" w:cs="Times New Roman"/>
          <w:sz w:val="22"/>
          <w:lang w:val="en-US"/>
        </w:rPr>
        <w:t xml:space="preserve">, Pedro Marques Vidal, Julien. Comparison of Swiss and European risk algorithms for cardiovascular prevention in Switzerland - </w:t>
      </w:r>
      <w:proofErr w:type="spellStart"/>
      <w:r w:rsidRPr="008964D7">
        <w:rPr>
          <w:rFonts w:ascii="Times New Roman" w:hAnsi="Times New Roman" w:cs="Times New Roman"/>
          <w:sz w:val="22"/>
          <w:lang w:val="en-US"/>
        </w:rPr>
        <w:t>Hadrien</w:t>
      </w:r>
      <w:proofErr w:type="spellEnd"/>
      <w:r w:rsidRPr="008964D7">
        <w:rPr>
          <w:rFonts w:ascii="Times New Roman" w:hAnsi="Times New Roman" w:cs="Times New Roman"/>
          <w:sz w:val="22"/>
          <w:lang w:val="en-US"/>
        </w:rPr>
        <w:t xml:space="preserve"> </w:t>
      </w:r>
      <w:proofErr w:type="spellStart"/>
      <w:r w:rsidRPr="008964D7">
        <w:rPr>
          <w:rFonts w:ascii="Times New Roman" w:hAnsi="Times New Roman" w:cs="Times New Roman"/>
          <w:sz w:val="22"/>
          <w:lang w:val="en-US"/>
        </w:rPr>
        <w:t>Beuret</w:t>
      </w:r>
      <w:proofErr w:type="spellEnd"/>
      <w:r w:rsidRPr="008964D7">
        <w:rPr>
          <w:rFonts w:ascii="Times New Roman" w:hAnsi="Times New Roman" w:cs="Times New Roman"/>
          <w:sz w:val="22"/>
          <w:lang w:val="en-US"/>
        </w:rPr>
        <w:t xml:space="preserve">, Nadine </w:t>
      </w:r>
      <w:proofErr w:type="spellStart"/>
      <w:r w:rsidRPr="008964D7">
        <w:rPr>
          <w:rFonts w:ascii="Times New Roman" w:hAnsi="Times New Roman" w:cs="Times New Roman"/>
          <w:sz w:val="22"/>
          <w:lang w:val="en-US"/>
        </w:rPr>
        <w:t>Hausler</w:t>
      </w:r>
      <w:proofErr w:type="spellEnd"/>
      <w:r w:rsidRPr="008964D7">
        <w:rPr>
          <w:rFonts w:ascii="Times New Roman" w:hAnsi="Times New Roman" w:cs="Times New Roman"/>
          <w:sz w:val="22"/>
          <w:lang w:val="en-US"/>
        </w:rPr>
        <w:t xml:space="preserve">, David </w:t>
      </w:r>
      <w:proofErr w:type="spellStart"/>
      <w:r w:rsidRPr="008964D7">
        <w:rPr>
          <w:rFonts w:ascii="Times New Roman" w:hAnsi="Times New Roman" w:cs="Times New Roman"/>
          <w:sz w:val="22"/>
          <w:lang w:val="en-US"/>
        </w:rPr>
        <w:t>Nanchen</w:t>
      </w:r>
      <w:proofErr w:type="spellEnd"/>
      <w:r w:rsidRPr="008964D7">
        <w:rPr>
          <w:rFonts w:ascii="Times New Roman" w:hAnsi="Times New Roman" w:cs="Times New Roman"/>
          <w:sz w:val="22"/>
          <w:lang w:val="en-US"/>
        </w:rPr>
        <w:t xml:space="preserve">, Marie </w:t>
      </w:r>
      <w:proofErr w:type="spellStart"/>
      <w:r w:rsidRPr="008964D7">
        <w:rPr>
          <w:rFonts w:ascii="Times New Roman" w:hAnsi="Times New Roman" w:cs="Times New Roman"/>
          <w:sz w:val="22"/>
          <w:lang w:val="en-US"/>
        </w:rPr>
        <w:t>Méan</w:t>
      </w:r>
      <w:proofErr w:type="spellEnd"/>
      <w:r w:rsidRPr="008964D7">
        <w:rPr>
          <w:rFonts w:ascii="Times New Roman" w:hAnsi="Times New Roman" w:cs="Times New Roman"/>
          <w:sz w:val="22"/>
          <w:lang w:val="en-US"/>
        </w:rPr>
        <w:t xml:space="preserve">, Pedro Marques-Vidal, Julien </w:t>
      </w:r>
      <w:proofErr w:type="gramStart"/>
      <w:r w:rsidRPr="008964D7">
        <w:rPr>
          <w:rFonts w:ascii="Times New Roman" w:hAnsi="Times New Roman" w:cs="Times New Roman"/>
          <w:sz w:val="22"/>
          <w:lang w:val="en-US"/>
        </w:rPr>
        <w:t>Vaucher,.</w:t>
      </w:r>
      <w:proofErr w:type="gramEnd"/>
      <w:r w:rsidRPr="008964D7">
        <w:rPr>
          <w:rFonts w:ascii="Times New Roman" w:hAnsi="Times New Roman" w:cs="Times New Roman"/>
          <w:sz w:val="22"/>
          <w:lang w:val="en-US"/>
        </w:rPr>
        <w:t xml:space="preserve"> European Journal of Preventive Cardiology [Internet]. 2020 Feb 23 [cited 2020 Apr 7]; Available from: https://journals.sagepub.com/doi/full/10.1177/2047487320906305?rfr_dat=cr_pub%3Dpubmed&amp;url_ver=Z39.88-2003&amp;rfr_id=ori%3Arid%3Acrossref.org&amp;journalCode=cprc</w:t>
      </w:r>
    </w:p>
    <w:p w14:paraId="61BEAC67" w14:textId="77777777" w:rsidR="008964D7" w:rsidRPr="008964D7" w:rsidRDefault="008964D7" w:rsidP="008964D7">
      <w:pPr>
        <w:pStyle w:val="Bibliographie"/>
        <w:jc w:val="both"/>
        <w:rPr>
          <w:rFonts w:ascii="Times New Roman" w:hAnsi="Times New Roman" w:cs="Times New Roman"/>
          <w:sz w:val="22"/>
          <w:lang w:val="en-US"/>
        </w:rPr>
      </w:pPr>
      <w:r w:rsidRPr="008964D7">
        <w:rPr>
          <w:rFonts w:ascii="Times New Roman" w:hAnsi="Times New Roman" w:cs="Times New Roman"/>
          <w:sz w:val="22"/>
          <w:lang w:val="en-US"/>
        </w:rPr>
        <w:t xml:space="preserve">3. </w:t>
      </w:r>
      <w:r w:rsidRPr="008964D7">
        <w:rPr>
          <w:rFonts w:ascii="Times New Roman" w:hAnsi="Times New Roman" w:cs="Times New Roman"/>
          <w:sz w:val="22"/>
          <w:lang w:val="en-US"/>
        </w:rPr>
        <w:tab/>
        <w:t>European Monitoring Centre for Drugs and Drug Addiction. European drug report 2021: trends and developments. [Internet]. LU: Publications Office; 2021 [cited 2022 Jul 4]. Available from: https://data.europa.eu/doi/10.2810/18539</w:t>
      </w:r>
    </w:p>
    <w:p w14:paraId="6AE8E89F" w14:textId="77777777" w:rsidR="008964D7" w:rsidRPr="008964D7" w:rsidRDefault="008964D7" w:rsidP="008964D7">
      <w:pPr>
        <w:pStyle w:val="Bibliographie"/>
        <w:jc w:val="both"/>
        <w:rPr>
          <w:rFonts w:ascii="Times New Roman" w:hAnsi="Times New Roman" w:cs="Times New Roman"/>
          <w:sz w:val="22"/>
          <w:lang w:val="en-US"/>
        </w:rPr>
      </w:pPr>
      <w:r w:rsidRPr="008964D7">
        <w:rPr>
          <w:rFonts w:ascii="Times New Roman" w:hAnsi="Times New Roman" w:cs="Times New Roman"/>
          <w:sz w:val="22"/>
          <w:lang w:val="en-US"/>
        </w:rPr>
        <w:t xml:space="preserve">4. </w:t>
      </w:r>
      <w:r w:rsidRPr="008964D7">
        <w:rPr>
          <w:rFonts w:ascii="Times New Roman" w:hAnsi="Times New Roman" w:cs="Times New Roman"/>
          <w:sz w:val="22"/>
          <w:lang w:val="en-US"/>
        </w:rPr>
        <w:tab/>
        <w:t xml:space="preserve">Shim H, </w:t>
      </w:r>
      <w:proofErr w:type="spellStart"/>
      <w:r w:rsidRPr="008964D7">
        <w:rPr>
          <w:rFonts w:ascii="Times New Roman" w:hAnsi="Times New Roman" w:cs="Times New Roman"/>
          <w:sz w:val="22"/>
          <w:lang w:val="en-US"/>
        </w:rPr>
        <w:t>Chasman</w:t>
      </w:r>
      <w:proofErr w:type="spellEnd"/>
      <w:r w:rsidRPr="008964D7">
        <w:rPr>
          <w:rFonts w:ascii="Times New Roman" w:hAnsi="Times New Roman" w:cs="Times New Roman"/>
          <w:sz w:val="22"/>
          <w:lang w:val="en-US"/>
        </w:rPr>
        <w:t xml:space="preserve"> DI, Smith JD, Mora S, </w:t>
      </w:r>
      <w:proofErr w:type="spellStart"/>
      <w:r w:rsidRPr="008964D7">
        <w:rPr>
          <w:rFonts w:ascii="Times New Roman" w:hAnsi="Times New Roman" w:cs="Times New Roman"/>
          <w:sz w:val="22"/>
          <w:lang w:val="en-US"/>
        </w:rPr>
        <w:t>Ridker</w:t>
      </w:r>
      <w:proofErr w:type="spellEnd"/>
      <w:r w:rsidRPr="008964D7">
        <w:rPr>
          <w:rFonts w:ascii="Times New Roman" w:hAnsi="Times New Roman" w:cs="Times New Roman"/>
          <w:sz w:val="22"/>
          <w:lang w:val="en-US"/>
        </w:rPr>
        <w:t xml:space="preserve"> PM, Nickerson DA, Krauss RM, Stephens M. A multivariate genome-wide association analysis of 10 LDL subfractions, and their response to statin treatment, in 1868 Caucasians. </w:t>
      </w:r>
      <w:proofErr w:type="spellStart"/>
      <w:r w:rsidRPr="008964D7">
        <w:rPr>
          <w:rFonts w:ascii="Times New Roman" w:hAnsi="Times New Roman" w:cs="Times New Roman"/>
          <w:sz w:val="22"/>
          <w:lang w:val="en-US"/>
        </w:rPr>
        <w:t>PLoS</w:t>
      </w:r>
      <w:proofErr w:type="spellEnd"/>
      <w:r w:rsidRPr="008964D7">
        <w:rPr>
          <w:rFonts w:ascii="Times New Roman" w:hAnsi="Times New Roman" w:cs="Times New Roman"/>
          <w:sz w:val="22"/>
          <w:lang w:val="en-US"/>
        </w:rPr>
        <w:t xml:space="preserve"> One. 2015;10(4</w:t>
      </w:r>
      <w:proofErr w:type="gramStart"/>
      <w:r w:rsidRPr="008964D7">
        <w:rPr>
          <w:rFonts w:ascii="Times New Roman" w:hAnsi="Times New Roman" w:cs="Times New Roman"/>
          <w:sz w:val="22"/>
          <w:lang w:val="en-US"/>
        </w:rPr>
        <w:t>):e</w:t>
      </w:r>
      <w:proofErr w:type="gramEnd"/>
      <w:r w:rsidRPr="008964D7">
        <w:rPr>
          <w:rFonts w:ascii="Times New Roman" w:hAnsi="Times New Roman" w:cs="Times New Roman"/>
          <w:sz w:val="22"/>
          <w:lang w:val="en-US"/>
        </w:rPr>
        <w:t xml:space="preserve">0120758. </w:t>
      </w:r>
    </w:p>
    <w:p w14:paraId="0431099C" w14:textId="77777777" w:rsidR="008964D7" w:rsidRPr="008964D7" w:rsidRDefault="008964D7" w:rsidP="008964D7">
      <w:pPr>
        <w:pStyle w:val="Bibliographie"/>
        <w:jc w:val="both"/>
        <w:rPr>
          <w:rFonts w:ascii="Times New Roman" w:hAnsi="Times New Roman" w:cs="Times New Roman"/>
          <w:sz w:val="22"/>
          <w:lang w:val="en-US"/>
        </w:rPr>
      </w:pPr>
      <w:r w:rsidRPr="008964D7">
        <w:rPr>
          <w:rFonts w:ascii="Times New Roman" w:hAnsi="Times New Roman" w:cs="Times New Roman"/>
          <w:sz w:val="22"/>
          <w:lang w:val="en-US"/>
        </w:rPr>
        <w:t xml:space="preserve">5. </w:t>
      </w:r>
      <w:r w:rsidRPr="008964D7">
        <w:rPr>
          <w:rFonts w:ascii="Times New Roman" w:hAnsi="Times New Roman" w:cs="Times New Roman"/>
          <w:sz w:val="22"/>
          <w:lang w:val="en-US"/>
        </w:rPr>
        <w:tab/>
        <w:t xml:space="preserve">Pierce BL, Burgess S. Efficient design for Mendelian randomization studies: subsample and 2-sample instrumental variable estimators. Am J Epidemiol. 2013 Oct 1;178(7):1177–84. </w:t>
      </w:r>
    </w:p>
    <w:p w14:paraId="684A643C" w14:textId="77777777" w:rsidR="008964D7" w:rsidRPr="008964D7" w:rsidRDefault="008964D7" w:rsidP="008964D7">
      <w:pPr>
        <w:pStyle w:val="Bibliographie"/>
        <w:jc w:val="both"/>
        <w:rPr>
          <w:rFonts w:ascii="Times New Roman" w:hAnsi="Times New Roman" w:cs="Times New Roman"/>
          <w:sz w:val="22"/>
          <w:lang w:val="en-US"/>
        </w:rPr>
      </w:pPr>
      <w:r w:rsidRPr="008964D7">
        <w:rPr>
          <w:rFonts w:ascii="Times New Roman" w:hAnsi="Times New Roman" w:cs="Times New Roman"/>
          <w:sz w:val="22"/>
          <w:lang w:val="en-US"/>
        </w:rPr>
        <w:t xml:space="preserve">6. </w:t>
      </w:r>
      <w:r w:rsidRPr="008964D7">
        <w:rPr>
          <w:rFonts w:ascii="Times New Roman" w:hAnsi="Times New Roman" w:cs="Times New Roman"/>
          <w:sz w:val="22"/>
          <w:lang w:val="en-US"/>
        </w:rPr>
        <w:tab/>
      </w:r>
      <w:proofErr w:type="spellStart"/>
      <w:r w:rsidRPr="008964D7">
        <w:rPr>
          <w:rFonts w:ascii="Times New Roman" w:hAnsi="Times New Roman" w:cs="Times New Roman"/>
          <w:sz w:val="22"/>
          <w:lang w:val="en-US"/>
        </w:rPr>
        <w:t>Firmann</w:t>
      </w:r>
      <w:proofErr w:type="spellEnd"/>
      <w:r w:rsidRPr="008964D7">
        <w:rPr>
          <w:rFonts w:ascii="Times New Roman" w:hAnsi="Times New Roman" w:cs="Times New Roman"/>
          <w:sz w:val="22"/>
          <w:lang w:val="en-US"/>
        </w:rPr>
        <w:t xml:space="preserve"> M, Mayor V, Vidal PM, </w:t>
      </w:r>
      <w:proofErr w:type="spellStart"/>
      <w:r w:rsidRPr="008964D7">
        <w:rPr>
          <w:rFonts w:ascii="Times New Roman" w:hAnsi="Times New Roman" w:cs="Times New Roman"/>
          <w:sz w:val="22"/>
          <w:lang w:val="en-US"/>
        </w:rPr>
        <w:t>Bochud</w:t>
      </w:r>
      <w:proofErr w:type="spellEnd"/>
      <w:r w:rsidRPr="008964D7">
        <w:rPr>
          <w:rFonts w:ascii="Times New Roman" w:hAnsi="Times New Roman" w:cs="Times New Roman"/>
          <w:sz w:val="22"/>
          <w:lang w:val="en-US"/>
        </w:rPr>
        <w:t xml:space="preserve"> M, </w:t>
      </w:r>
      <w:proofErr w:type="spellStart"/>
      <w:r w:rsidRPr="008964D7">
        <w:rPr>
          <w:rFonts w:ascii="Times New Roman" w:hAnsi="Times New Roman" w:cs="Times New Roman"/>
          <w:sz w:val="22"/>
          <w:lang w:val="en-US"/>
        </w:rPr>
        <w:t>Pécoud</w:t>
      </w:r>
      <w:proofErr w:type="spellEnd"/>
      <w:r w:rsidRPr="008964D7">
        <w:rPr>
          <w:rFonts w:ascii="Times New Roman" w:hAnsi="Times New Roman" w:cs="Times New Roman"/>
          <w:sz w:val="22"/>
          <w:lang w:val="en-US"/>
        </w:rPr>
        <w:t xml:space="preserve"> A, </w:t>
      </w:r>
      <w:proofErr w:type="spellStart"/>
      <w:r w:rsidRPr="008964D7">
        <w:rPr>
          <w:rFonts w:ascii="Times New Roman" w:hAnsi="Times New Roman" w:cs="Times New Roman"/>
          <w:sz w:val="22"/>
          <w:lang w:val="en-US"/>
        </w:rPr>
        <w:t>Hayoz</w:t>
      </w:r>
      <w:proofErr w:type="spellEnd"/>
      <w:r w:rsidRPr="008964D7">
        <w:rPr>
          <w:rFonts w:ascii="Times New Roman" w:hAnsi="Times New Roman" w:cs="Times New Roman"/>
          <w:sz w:val="22"/>
          <w:lang w:val="en-US"/>
        </w:rPr>
        <w:t xml:space="preserve"> D, </w:t>
      </w:r>
      <w:proofErr w:type="spellStart"/>
      <w:r w:rsidRPr="008964D7">
        <w:rPr>
          <w:rFonts w:ascii="Times New Roman" w:hAnsi="Times New Roman" w:cs="Times New Roman"/>
          <w:sz w:val="22"/>
          <w:lang w:val="en-US"/>
        </w:rPr>
        <w:t>Paccaud</w:t>
      </w:r>
      <w:proofErr w:type="spellEnd"/>
      <w:r w:rsidRPr="008964D7">
        <w:rPr>
          <w:rFonts w:ascii="Times New Roman" w:hAnsi="Times New Roman" w:cs="Times New Roman"/>
          <w:sz w:val="22"/>
          <w:lang w:val="en-US"/>
        </w:rPr>
        <w:t xml:space="preserve"> F, </w:t>
      </w:r>
      <w:proofErr w:type="spellStart"/>
      <w:r w:rsidRPr="008964D7">
        <w:rPr>
          <w:rFonts w:ascii="Times New Roman" w:hAnsi="Times New Roman" w:cs="Times New Roman"/>
          <w:sz w:val="22"/>
          <w:lang w:val="en-US"/>
        </w:rPr>
        <w:t>Preisig</w:t>
      </w:r>
      <w:proofErr w:type="spellEnd"/>
      <w:r w:rsidRPr="008964D7">
        <w:rPr>
          <w:rFonts w:ascii="Times New Roman" w:hAnsi="Times New Roman" w:cs="Times New Roman"/>
          <w:sz w:val="22"/>
          <w:lang w:val="en-US"/>
        </w:rPr>
        <w:t xml:space="preserve"> M, Song KS, Yuan X, </w:t>
      </w:r>
      <w:proofErr w:type="spellStart"/>
      <w:r w:rsidRPr="008964D7">
        <w:rPr>
          <w:rFonts w:ascii="Times New Roman" w:hAnsi="Times New Roman" w:cs="Times New Roman"/>
          <w:sz w:val="22"/>
          <w:lang w:val="en-US"/>
        </w:rPr>
        <w:t>Danoff</w:t>
      </w:r>
      <w:proofErr w:type="spellEnd"/>
      <w:r w:rsidRPr="008964D7">
        <w:rPr>
          <w:rFonts w:ascii="Times New Roman" w:hAnsi="Times New Roman" w:cs="Times New Roman"/>
          <w:sz w:val="22"/>
          <w:lang w:val="en-US"/>
        </w:rPr>
        <w:t xml:space="preserve"> TM, </w:t>
      </w:r>
      <w:proofErr w:type="spellStart"/>
      <w:r w:rsidRPr="008964D7">
        <w:rPr>
          <w:rFonts w:ascii="Times New Roman" w:hAnsi="Times New Roman" w:cs="Times New Roman"/>
          <w:sz w:val="22"/>
          <w:lang w:val="en-US"/>
        </w:rPr>
        <w:t>Stirnadel</w:t>
      </w:r>
      <w:proofErr w:type="spellEnd"/>
      <w:r w:rsidRPr="008964D7">
        <w:rPr>
          <w:rFonts w:ascii="Times New Roman" w:hAnsi="Times New Roman" w:cs="Times New Roman"/>
          <w:sz w:val="22"/>
          <w:lang w:val="en-US"/>
        </w:rPr>
        <w:t xml:space="preserve"> HA, Waterworth D, Mooser V, Waeber G, Vollenweider P. The </w:t>
      </w:r>
      <w:proofErr w:type="spellStart"/>
      <w:r w:rsidRPr="008964D7">
        <w:rPr>
          <w:rFonts w:ascii="Times New Roman" w:hAnsi="Times New Roman" w:cs="Times New Roman"/>
          <w:sz w:val="22"/>
          <w:lang w:val="en-US"/>
        </w:rPr>
        <w:t>CoLaus</w:t>
      </w:r>
      <w:proofErr w:type="spellEnd"/>
      <w:r w:rsidRPr="008964D7">
        <w:rPr>
          <w:rFonts w:ascii="Times New Roman" w:hAnsi="Times New Roman" w:cs="Times New Roman"/>
          <w:sz w:val="22"/>
          <w:lang w:val="en-US"/>
        </w:rPr>
        <w:t xml:space="preserve"> study: a population-based study to investigate the epidemiology and genetic determinants of cardiovascular risk factors and metabolic syndrome. BMC Cardiovasc </w:t>
      </w:r>
      <w:proofErr w:type="spellStart"/>
      <w:r w:rsidRPr="008964D7">
        <w:rPr>
          <w:rFonts w:ascii="Times New Roman" w:hAnsi="Times New Roman" w:cs="Times New Roman"/>
          <w:sz w:val="22"/>
          <w:lang w:val="en-US"/>
        </w:rPr>
        <w:t>Disord</w:t>
      </w:r>
      <w:proofErr w:type="spellEnd"/>
      <w:r w:rsidRPr="008964D7">
        <w:rPr>
          <w:rFonts w:ascii="Times New Roman" w:hAnsi="Times New Roman" w:cs="Times New Roman"/>
          <w:sz w:val="22"/>
          <w:lang w:val="en-US"/>
        </w:rPr>
        <w:t xml:space="preserve">. 2008 Mar </w:t>
      </w:r>
      <w:proofErr w:type="gramStart"/>
      <w:r w:rsidRPr="008964D7">
        <w:rPr>
          <w:rFonts w:ascii="Times New Roman" w:hAnsi="Times New Roman" w:cs="Times New Roman"/>
          <w:sz w:val="22"/>
          <w:lang w:val="en-US"/>
        </w:rPr>
        <w:t>17;8:6</w:t>
      </w:r>
      <w:proofErr w:type="gramEnd"/>
      <w:r w:rsidRPr="008964D7">
        <w:rPr>
          <w:rFonts w:ascii="Times New Roman" w:hAnsi="Times New Roman" w:cs="Times New Roman"/>
          <w:sz w:val="22"/>
          <w:lang w:val="en-US"/>
        </w:rPr>
        <w:t xml:space="preserve">. </w:t>
      </w:r>
    </w:p>
    <w:p w14:paraId="0C28E3AA" w14:textId="2CAFE99A" w:rsidR="008964D7" w:rsidRPr="008964D7" w:rsidRDefault="008964D7" w:rsidP="008964D7">
      <w:pPr>
        <w:pStyle w:val="Bibliographie"/>
        <w:jc w:val="both"/>
        <w:rPr>
          <w:rFonts w:ascii="Times New Roman" w:hAnsi="Times New Roman" w:cs="Times New Roman"/>
          <w:b/>
          <w:bCs/>
          <w:sz w:val="22"/>
          <w:szCs w:val="22"/>
          <w:lang w:val="en-US"/>
        </w:rPr>
      </w:pPr>
      <w:r w:rsidRPr="008964D7">
        <w:rPr>
          <w:rFonts w:ascii="Times New Roman" w:hAnsi="Times New Roman" w:cs="Times New Roman"/>
          <w:sz w:val="22"/>
          <w:lang w:val="en-US"/>
        </w:rPr>
        <w:t xml:space="preserve">7. </w:t>
      </w:r>
      <w:r w:rsidRPr="008964D7">
        <w:rPr>
          <w:rFonts w:ascii="Times New Roman" w:hAnsi="Times New Roman" w:cs="Times New Roman"/>
          <w:sz w:val="22"/>
          <w:lang w:val="en-US"/>
        </w:rPr>
        <w:tab/>
        <w:t xml:space="preserve">Johnson EC, </w:t>
      </w:r>
      <w:proofErr w:type="spellStart"/>
      <w:r w:rsidRPr="008964D7">
        <w:rPr>
          <w:rFonts w:ascii="Times New Roman" w:hAnsi="Times New Roman" w:cs="Times New Roman"/>
          <w:sz w:val="22"/>
          <w:lang w:val="en-US"/>
        </w:rPr>
        <w:t>Demontis</w:t>
      </w:r>
      <w:proofErr w:type="spellEnd"/>
      <w:r w:rsidRPr="008964D7">
        <w:rPr>
          <w:rFonts w:ascii="Times New Roman" w:hAnsi="Times New Roman" w:cs="Times New Roman"/>
          <w:sz w:val="22"/>
          <w:lang w:val="en-US"/>
        </w:rPr>
        <w:t xml:space="preserve"> D, </w:t>
      </w:r>
      <w:proofErr w:type="spellStart"/>
      <w:r w:rsidRPr="008964D7">
        <w:rPr>
          <w:rFonts w:ascii="Times New Roman" w:hAnsi="Times New Roman" w:cs="Times New Roman"/>
          <w:sz w:val="22"/>
          <w:lang w:val="en-US"/>
        </w:rPr>
        <w:t>Thorgeirsson</w:t>
      </w:r>
      <w:proofErr w:type="spellEnd"/>
      <w:r w:rsidRPr="008964D7">
        <w:rPr>
          <w:rFonts w:ascii="Times New Roman" w:hAnsi="Times New Roman" w:cs="Times New Roman"/>
          <w:sz w:val="22"/>
          <w:lang w:val="en-US"/>
        </w:rPr>
        <w:t xml:space="preserve"> TE, Walters RK, </w:t>
      </w:r>
      <w:proofErr w:type="spellStart"/>
      <w:r w:rsidRPr="008964D7">
        <w:rPr>
          <w:rFonts w:ascii="Times New Roman" w:hAnsi="Times New Roman" w:cs="Times New Roman"/>
          <w:sz w:val="22"/>
          <w:lang w:val="en-US"/>
        </w:rPr>
        <w:t>Polimanti</w:t>
      </w:r>
      <w:proofErr w:type="spellEnd"/>
      <w:r w:rsidRPr="008964D7">
        <w:rPr>
          <w:rFonts w:ascii="Times New Roman" w:hAnsi="Times New Roman" w:cs="Times New Roman"/>
          <w:sz w:val="22"/>
          <w:lang w:val="en-US"/>
        </w:rPr>
        <w:t xml:space="preserve"> R, </w:t>
      </w:r>
      <w:proofErr w:type="spellStart"/>
      <w:r w:rsidRPr="008964D7">
        <w:rPr>
          <w:rFonts w:ascii="Times New Roman" w:hAnsi="Times New Roman" w:cs="Times New Roman"/>
          <w:sz w:val="22"/>
          <w:lang w:val="en-US"/>
        </w:rPr>
        <w:t>Hatoum</w:t>
      </w:r>
      <w:proofErr w:type="spellEnd"/>
      <w:r w:rsidRPr="008964D7">
        <w:rPr>
          <w:rFonts w:ascii="Times New Roman" w:hAnsi="Times New Roman" w:cs="Times New Roman"/>
          <w:sz w:val="22"/>
          <w:lang w:val="en-US"/>
        </w:rPr>
        <w:t xml:space="preserve"> AS, Sanchez-</w:t>
      </w:r>
      <w:proofErr w:type="spellStart"/>
      <w:r w:rsidRPr="008964D7">
        <w:rPr>
          <w:rFonts w:ascii="Times New Roman" w:hAnsi="Times New Roman" w:cs="Times New Roman"/>
          <w:sz w:val="22"/>
          <w:lang w:val="en-US"/>
        </w:rPr>
        <w:t>Roige</w:t>
      </w:r>
      <w:proofErr w:type="spellEnd"/>
      <w:r w:rsidRPr="008964D7">
        <w:rPr>
          <w:rFonts w:ascii="Times New Roman" w:hAnsi="Times New Roman" w:cs="Times New Roman"/>
          <w:sz w:val="22"/>
          <w:lang w:val="en-US"/>
        </w:rPr>
        <w:t xml:space="preserve"> S, Paul SE, Wendt FR, Clarke TK, Lai D, </w:t>
      </w:r>
      <w:proofErr w:type="spellStart"/>
      <w:r w:rsidRPr="008964D7">
        <w:rPr>
          <w:rFonts w:ascii="Times New Roman" w:hAnsi="Times New Roman" w:cs="Times New Roman"/>
          <w:sz w:val="22"/>
          <w:lang w:val="en-US"/>
        </w:rPr>
        <w:t>Reginsson</w:t>
      </w:r>
      <w:proofErr w:type="spellEnd"/>
      <w:r w:rsidRPr="008964D7">
        <w:rPr>
          <w:rFonts w:ascii="Times New Roman" w:hAnsi="Times New Roman" w:cs="Times New Roman"/>
          <w:sz w:val="22"/>
          <w:lang w:val="en-US"/>
        </w:rPr>
        <w:t xml:space="preserve"> GW, Zhou H, He J, </w:t>
      </w:r>
      <w:proofErr w:type="spellStart"/>
      <w:r w:rsidRPr="008964D7">
        <w:rPr>
          <w:rFonts w:ascii="Times New Roman" w:hAnsi="Times New Roman" w:cs="Times New Roman"/>
          <w:sz w:val="22"/>
          <w:lang w:val="en-US"/>
        </w:rPr>
        <w:t>Baranger</w:t>
      </w:r>
      <w:proofErr w:type="spellEnd"/>
      <w:r w:rsidRPr="008964D7">
        <w:rPr>
          <w:rFonts w:ascii="Times New Roman" w:hAnsi="Times New Roman" w:cs="Times New Roman"/>
          <w:sz w:val="22"/>
          <w:lang w:val="en-US"/>
        </w:rPr>
        <w:t xml:space="preserve"> DAA, </w:t>
      </w:r>
      <w:proofErr w:type="spellStart"/>
      <w:r w:rsidRPr="008964D7">
        <w:rPr>
          <w:rFonts w:ascii="Times New Roman" w:hAnsi="Times New Roman" w:cs="Times New Roman"/>
          <w:sz w:val="22"/>
          <w:lang w:val="en-US"/>
        </w:rPr>
        <w:t>Gudbjartsson</w:t>
      </w:r>
      <w:proofErr w:type="spellEnd"/>
      <w:r w:rsidRPr="008964D7">
        <w:rPr>
          <w:rFonts w:ascii="Times New Roman" w:hAnsi="Times New Roman" w:cs="Times New Roman"/>
          <w:sz w:val="22"/>
          <w:lang w:val="en-US"/>
        </w:rPr>
        <w:t xml:space="preserve"> DF, </w:t>
      </w:r>
      <w:proofErr w:type="spellStart"/>
      <w:r w:rsidRPr="008964D7">
        <w:rPr>
          <w:rFonts w:ascii="Times New Roman" w:hAnsi="Times New Roman" w:cs="Times New Roman"/>
          <w:sz w:val="22"/>
          <w:lang w:val="en-US"/>
        </w:rPr>
        <w:t>Wedow</w:t>
      </w:r>
      <w:proofErr w:type="spellEnd"/>
      <w:r w:rsidRPr="008964D7">
        <w:rPr>
          <w:rFonts w:ascii="Times New Roman" w:hAnsi="Times New Roman" w:cs="Times New Roman"/>
          <w:sz w:val="22"/>
          <w:lang w:val="en-US"/>
        </w:rPr>
        <w:t xml:space="preserve"> R, Adkins DE, Adkins AE, Alexander J, </w:t>
      </w:r>
      <w:proofErr w:type="spellStart"/>
      <w:r w:rsidRPr="008964D7">
        <w:rPr>
          <w:rFonts w:ascii="Times New Roman" w:hAnsi="Times New Roman" w:cs="Times New Roman"/>
          <w:sz w:val="22"/>
          <w:lang w:val="en-US"/>
        </w:rPr>
        <w:t>Bacanu</w:t>
      </w:r>
      <w:proofErr w:type="spellEnd"/>
      <w:r w:rsidRPr="008964D7">
        <w:rPr>
          <w:rFonts w:ascii="Times New Roman" w:hAnsi="Times New Roman" w:cs="Times New Roman"/>
          <w:sz w:val="22"/>
          <w:lang w:val="en-US"/>
        </w:rPr>
        <w:t xml:space="preserve"> SA, </w:t>
      </w:r>
      <w:proofErr w:type="spellStart"/>
      <w:r w:rsidRPr="008964D7">
        <w:rPr>
          <w:rFonts w:ascii="Times New Roman" w:hAnsi="Times New Roman" w:cs="Times New Roman"/>
          <w:sz w:val="22"/>
          <w:lang w:val="en-US"/>
        </w:rPr>
        <w:t>Bigdeli</w:t>
      </w:r>
      <w:proofErr w:type="spellEnd"/>
      <w:r w:rsidRPr="008964D7">
        <w:rPr>
          <w:rFonts w:ascii="Times New Roman" w:hAnsi="Times New Roman" w:cs="Times New Roman"/>
          <w:sz w:val="22"/>
          <w:lang w:val="en-US"/>
        </w:rPr>
        <w:t xml:space="preserve"> TB, Boden J, Brown SA, </w:t>
      </w:r>
      <w:proofErr w:type="spellStart"/>
      <w:r w:rsidRPr="008964D7">
        <w:rPr>
          <w:rFonts w:ascii="Times New Roman" w:hAnsi="Times New Roman" w:cs="Times New Roman"/>
          <w:sz w:val="22"/>
          <w:lang w:val="en-US"/>
        </w:rPr>
        <w:t>Bucholz</w:t>
      </w:r>
      <w:proofErr w:type="spellEnd"/>
      <w:r w:rsidRPr="008964D7">
        <w:rPr>
          <w:rFonts w:ascii="Times New Roman" w:hAnsi="Times New Roman" w:cs="Times New Roman"/>
          <w:sz w:val="22"/>
          <w:lang w:val="en-US"/>
        </w:rPr>
        <w:t xml:space="preserve"> KK, </w:t>
      </w:r>
      <w:proofErr w:type="spellStart"/>
      <w:r w:rsidRPr="008964D7">
        <w:rPr>
          <w:rFonts w:ascii="Times New Roman" w:hAnsi="Times New Roman" w:cs="Times New Roman"/>
          <w:sz w:val="22"/>
          <w:lang w:val="en-US"/>
        </w:rPr>
        <w:t>Bybjerg-Grauholm</w:t>
      </w:r>
      <w:proofErr w:type="spellEnd"/>
      <w:r w:rsidRPr="008964D7">
        <w:rPr>
          <w:rFonts w:ascii="Times New Roman" w:hAnsi="Times New Roman" w:cs="Times New Roman"/>
          <w:sz w:val="22"/>
          <w:lang w:val="en-US"/>
        </w:rPr>
        <w:t xml:space="preserve"> J, Corley RP, Degenhardt L, Dick DM, Domingue BW, Fox L, </w:t>
      </w:r>
      <w:proofErr w:type="spellStart"/>
      <w:r w:rsidRPr="008964D7">
        <w:rPr>
          <w:rFonts w:ascii="Times New Roman" w:hAnsi="Times New Roman" w:cs="Times New Roman"/>
          <w:sz w:val="22"/>
          <w:lang w:val="en-US"/>
        </w:rPr>
        <w:t>Goate</w:t>
      </w:r>
      <w:proofErr w:type="spellEnd"/>
      <w:r w:rsidRPr="008964D7">
        <w:rPr>
          <w:rFonts w:ascii="Times New Roman" w:hAnsi="Times New Roman" w:cs="Times New Roman"/>
          <w:sz w:val="22"/>
          <w:lang w:val="en-US"/>
        </w:rPr>
        <w:t xml:space="preserve"> AM, Gordon SD, Hack LM, Hancock DB, Hartz SM, </w:t>
      </w:r>
      <w:proofErr w:type="spellStart"/>
      <w:r w:rsidRPr="008964D7">
        <w:rPr>
          <w:rFonts w:ascii="Times New Roman" w:hAnsi="Times New Roman" w:cs="Times New Roman"/>
          <w:sz w:val="22"/>
          <w:lang w:val="en-US"/>
        </w:rPr>
        <w:t>Hickie</w:t>
      </w:r>
      <w:proofErr w:type="spellEnd"/>
      <w:r w:rsidRPr="008964D7">
        <w:rPr>
          <w:rFonts w:ascii="Times New Roman" w:hAnsi="Times New Roman" w:cs="Times New Roman"/>
          <w:sz w:val="22"/>
          <w:lang w:val="en-US"/>
        </w:rPr>
        <w:t xml:space="preserve"> IB, </w:t>
      </w:r>
      <w:proofErr w:type="spellStart"/>
      <w:r w:rsidRPr="008964D7">
        <w:rPr>
          <w:rFonts w:ascii="Times New Roman" w:hAnsi="Times New Roman" w:cs="Times New Roman"/>
          <w:sz w:val="22"/>
          <w:lang w:val="en-US"/>
        </w:rPr>
        <w:t>Hougaard</w:t>
      </w:r>
      <w:proofErr w:type="spellEnd"/>
      <w:r w:rsidRPr="008964D7">
        <w:rPr>
          <w:rFonts w:ascii="Times New Roman" w:hAnsi="Times New Roman" w:cs="Times New Roman"/>
          <w:sz w:val="22"/>
          <w:lang w:val="en-US"/>
        </w:rPr>
        <w:t xml:space="preserve"> DM, </w:t>
      </w:r>
      <w:proofErr w:type="spellStart"/>
      <w:r w:rsidRPr="008964D7">
        <w:rPr>
          <w:rFonts w:ascii="Times New Roman" w:hAnsi="Times New Roman" w:cs="Times New Roman"/>
          <w:sz w:val="22"/>
          <w:lang w:val="en-US"/>
        </w:rPr>
        <w:t>Krauter</w:t>
      </w:r>
      <w:proofErr w:type="spellEnd"/>
      <w:r w:rsidRPr="008964D7">
        <w:rPr>
          <w:rFonts w:ascii="Times New Roman" w:hAnsi="Times New Roman" w:cs="Times New Roman"/>
          <w:sz w:val="22"/>
          <w:lang w:val="en-US"/>
        </w:rPr>
        <w:t xml:space="preserve"> K, Lind PA, </w:t>
      </w:r>
      <w:proofErr w:type="spellStart"/>
      <w:r w:rsidRPr="008964D7">
        <w:rPr>
          <w:rFonts w:ascii="Times New Roman" w:hAnsi="Times New Roman" w:cs="Times New Roman"/>
          <w:sz w:val="22"/>
          <w:lang w:val="en-US"/>
        </w:rPr>
        <w:t>McClintick</w:t>
      </w:r>
      <w:proofErr w:type="spellEnd"/>
      <w:r w:rsidRPr="008964D7">
        <w:rPr>
          <w:rFonts w:ascii="Times New Roman" w:hAnsi="Times New Roman" w:cs="Times New Roman"/>
          <w:sz w:val="22"/>
          <w:lang w:val="en-US"/>
        </w:rPr>
        <w:t xml:space="preserve"> JN, McQueen MB, Meyers JL, Montgomery GW, Mors O, Mortensen PB, </w:t>
      </w:r>
      <w:proofErr w:type="spellStart"/>
      <w:r w:rsidRPr="008964D7">
        <w:rPr>
          <w:rFonts w:ascii="Times New Roman" w:hAnsi="Times New Roman" w:cs="Times New Roman"/>
          <w:sz w:val="22"/>
          <w:lang w:val="en-US"/>
        </w:rPr>
        <w:t>Nordentoft</w:t>
      </w:r>
      <w:proofErr w:type="spellEnd"/>
      <w:r w:rsidRPr="008964D7">
        <w:rPr>
          <w:rFonts w:ascii="Times New Roman" w:hAnsi="Times New Roman" w:cs="Times New Roman"/>
          <w:sz w:val="22"/>
          <w:lang w:val="en-US"/>
        </w:rPr>
        <w:t xml:space="preserve"> M, Pearson JF, Peterson RE, Reynolds MD, Rice JP, </w:t>
      </w:r>
      <w:proofErr w:type="spellStart"/>
      <w:r w:rsidRPr="008964D7">
        <w:rPr>
          <w:rFonts w:ascii="Times New Roman" w:hAnsi="Times New Roman" w:cs="Times New Roman"/>
          <w:sz w:val="22"/>
          <w:lang w:val="en-US"/>
        </w:rPr>
        <w:t>Runarsdottir</w:t>
      </w:r>
      <w:proofErr w:type="spellEnd"/>
      <w:r w:rsidRPr="008964D7">
        <w:rPr>
          <w:rFonts w:ascii="Times New Roman" w:hAnsi="Times New Roman" w:cs="Times New Roman"/>
          <w:sz w:val="22"/>
          <w:lang w:val="en-US"/>
        </w:rPr>
        <w:t xml:space="preserve"> V, </w:t>
      </w:r>
      <w:proofErr w:type="spellStart"/>
      <w:r w:rsidRPr="008964D7">
        <w:rPr>
          <w:rFonts w:ascii="Times New Roman" w:hAnsi="Times New Roman" w:cs="Times New Roman"/>
          <w:sz w:val="22"/>
          <w:lang w:val="en-US"/>
        </w:rPr>
        <w:t>Saccone</w:t>
      </w:r>
      <w:proofErr w:type="spellEnd"/>
      <w:r w:rsidRPr="008964D7">
        <w:rPr>
          <w:rFonts w:ascii="Times New Roman" w:hAnsi="Times New Roman" w:cs="Times New Roman"/>
          <w:sz w:val="22"/>
          <w:lang w:val="en-US"/>
        </w:rPr>
        <w:t xml:space="preserve"> NL, </w:t>
      </w:r>
      <w:proofErr w:type="spellStart"/>
      <w:r w:rsidRPr="008964D7">
        <w:rPr>
          <w:rFonts w:ascii="Times New Roman" w:hAnsi="Times New Roman" w:cs="Times New Roman"/>
          <w:sz w:val="22"/>
          <w:lang w:val="en-US"/>
        </w:rPr>
        <w:t>Sherva</w:t>
      </w:r>
      <w:proofErr w:type="spellEnd"/>
      <w:r w:rsidRPr="008964D7">
        <w:rPr>
          <w:rFonts w:ascii="Times New Roman" w:hAnsi="Times New Roman" w:cs="Times New Roman"/>
          <w:sz w:val="22"/>
          <w:lang w:val="en-US"/>
        </w:rPr>
        <w:t xml:space="preserve"> R, </w:t>
      </w:r>
      <w:proofErr w:type="spellStart"/>
      <w:r w:rsidRPr="008964D7">
        <w:rPr>
          <w:rFonts w:ascii="Times New Roman" w:hAnsi="Times New Roman" w:cs="Times New Roman"/>
          <w:sz w:val="22"/>
          <w:lang w:val="en-US"/>
        </w:rPr>
        <w:t>Silberg</w:t>
      </w:r>
      <w:proofErr w:type="spellEnd"/>
      <w:r w:rsidRPr="008964D7">
        <w:rPr>
          <w:rFonts w:ascii="Times New Roman" w:hAnsi="Times New Roman" w:cs="Times New Roman"/>
          <w:sz w:val="22"/>
          <w:lang w:val="en-US"/>
        </w:rPr>
        <w:t xml:space="preserve"> JL, Tarter RE, </w:t>
      </w:r>
      <w:proofErr w:type="spellStart"/>
      <w:r w:rsidRPr="008964D7">
        <w:rPr>
          <w:rFonts w:ascii="Times New Roman" w:hAnsi="Times New Roman" w:cs="Times New Roman"/>
          <w:sz w:val="22"/>
          <w:lang w:val="en-US"/>
        </w:rPr>
        <w:t>Tyrfingsson</w:t>
      </w:r>
      <w:proofErr w:type="spellEnd"/>
      <w:r w:rsidRPr="008964D7">
        <w:rPr>
          <w:rFonts w:ascii="Times New Roman" w:hAnsi="Times New Roman" w:cs="Times New Roman"/>
          <w:sz w:val="22"/>
          <w:lang w:val="en-US"/>
        </w:rPr>
        <w:t xml:space="preserve"> T, Wall TL, Webb BT, </w:t>
      </w:r>
      <w:proofErr w:type="spellStart"/>
      <w:r w:rsidRPr="008964D7">
        <w:rPr>
          <w:rFonts w:ascii="Times New Roman" w:hAnsi="Times New Roman" w:cs="Times New Roman"/>
          <w:sz w:val="22"/>
          <w:lang w:val="en-US"/>
        </w:rPr>
        <w:t>Werge</w:t>
      </w:r>
      <w:proofErr w:type="spellEnd"/>
      <w:r w:rsidRPr="008964D7">
        <w:rPr>
          <w:rFonts w:ascii="Times New Roman" w:hAnsi="Times New Roman" w:cs="Times New Roman"/>
          <w:sz w:val="22"/>
          <w:lang w:val="en-US"/>
        </w:rPr>
        <w:t xml:space="preserve"> T, Wetherill L, Wright MJ, Zellers S, Adams MJ, </w:t>
      </w:r>
      <w:proofErr w:type="spellStart"/>
      <w:r w:rsidRPr="008964D7">
        <w:rPr>
          <w:rFonts w:ascii="Times New Roman" w:hAnsi="Times New Roman" w:cs="Times New Roman"/>
          <w:sz w:val="22"/>
          <w:lang w:val="en-US"/>
        </w:rPr>
        <w:t>Bierut</w:t>
      </w:r>
      <w:proofErr w:type="spellEnd"/>
      <w:r w:rsidRPr="008964D7">
        <w:rPr>
          <w:rFonts w:ascii="Times New Roman" w:hAnsi="Times New Roman" w:cs="Times New Roman"/>
          <w:sz w:val="22"/>
          <w:lang w:val="en-US"/>
        </w:rPr>
        <w:t xml:space="preserve"> LJ, Boardman JD, Copeland WE, Farrer LA, </w:t>
      </w:r>
      <w:proofErr w:type="spellStart"/>
      <w:r w:rsidRPr="008964D7">
        <w:rPr>
          <w:rFonts w:ascii="Times New Roman" w:hAnsi="Times New Roman" w:cs="Times New Roman"/>
          <w:sz w:val="22"/>
          <w:lang w:val="en-US"/>
        </w:rPr>
        <w:t>Foroud</w:t>
      </w:r>
      <w:proofErr w:type="spellEnd"/>
      <w:r w:rsidRPr="008964D7">
        <w:rPr>
          <w:rFonts w:ascii="Times New Roman" w:hAnsi="Times New Roman" w:cs="Times New Roman"/>
          <w:sz w:val="22"/>
          <w:lang w:val="en-US"/>
        </w:rPr>
        <w:t xml:space="preserve"> TM, Gillespie NA, </w:t>
      </w:r>
      <w:proofErr w:type="spellStart"/>
      <w:r w:rsidRPr="008964D7">
        <w:rPr>
          <w:rFonts w:ascii="Times New Roman" w:hAnsi="Times New Roman" w:cs="Times New Roman"/>
          <w:sz w:val="22"/>
          <w:lang w:val="en-US"/>
        </w:rPr>
        <w:t>Grucza</w:t>
      </w:r>
      <w:proofErr w:type="spellEnd"/>
      <w:r w:rsidRPr="008964D7">
        <w:rPr>
          <w:rFonts w:ascii="Times New Roman" w:hAnsi="Times New Roman" w:cs="Times New Roman"/>
          <w:sz w:val="22"/>
          <w:lang w:val="en-US"/>
        </w:rPr>
        <w:t xml:space="preserve"> RA, Harris KM, Heath AC, </w:t>
      </w:r>
      <w:proofErr w:type="spellStart"/>
      <w:r w:rsidRPr="008964D7">
        <w:rPr>
          <w:rFonts w:ascii="Times New Roman" w:hAnsi="Times New Roman" w:cs="Times New Roman"/>
          <w:sz w:val="22"/>
          <w:lang w:val="en-US"/>
        </w:rPr>
        <w:t>Hesselbrock</w:t>
      </w:r>
      <w:proofErr w:type="spellEnd"/>
      <w:r w:rsidRPr="008964D7">
        <w:rPr>
          <w:rFonts w:ascii="Times New Roman" w:hAnsi="Times New Roman" w:cs="Times New Roman"/>
          <w:sz w:val="22"/>
          <w:lang w:val="en-US"/>
        </w:rPr>
        <w:t xml:space="preserve"> V, Hewitt JK, </w:t>
      </w:r>
      <w:proofErr w:type="spellStart"/>
      <w:r w:rsidRPr="008964D7">
        <w:rPr>
          <w:rFonts w:ascii="Times New Roman" w:hAnsi="Times New Roman" w:cs="Times New Roman"/>
          <w:sz w:val="22"/>
          <w:lang w:val="en-US"/>
        </w:rPr>
        <w:t>Hopfer</w:t>
      </w:r>
      <w:proofErr w:type="spellEnd"/>
      <w:r w:rsidRPr="008964D7">
        <w:rPr>
          <w:rFonts w:ascii="Times New Roman" w:hAnsi="Times New Roman" w:cs="Times New Roman"/>
          <w:sz w:val="22"/>
          <w:lang w:val="en-US"/>
        </w:rPr>
        <w:t xml:space="preserve"> CJ, Horwood J, </w:t>
      </w:r>
      <w:proofErr w:type="spellStart"/>
      <w:r w:rsidRPr="008964D7">
        <w:rPr>
          <w:rFonts w:ascii="Times New Roman" w:hAnsi="Times New Roman" w:cs="Times New Roman"/>
          <w:sz w:val="22"/>
          <w:lang w:val="en-US"/>
        </w:rPr>
        <w:t>Iacono</w:t>
      </w:r>
      <w:proofErr w:type="spellEnd"/>
      <w:r w:rsidRPr="008964D7">
        <w:rPr>
          <w:rFonts w:ascii="Times New Roman" w:hAnsi="Times New Roman" w:cs="Times New Roman"/>
          <w:sz w:val="22"/>
          <w:lang w:val="en-US"/>
        </w:rPr>
        <w:t xml:space="preserve"> WG, Johnson EO, Kendler KS, Kennedy MA, </w:t>
      </w:r>
      <w:proofErr w:type="spellStart"/>
      <w:r w:rsidRPr="008964D7">
        <w:rPr>
          <w:rFonts w:ascii="Times New Roman" w:hAnsi="Times New Roman" w:cs="Times New Roman"/>
          <w:sz w:val="22"/>
          <w:lang w:val="en-US"/>
        </w:rPr>
        <w:t>Kranzler</w:t>
      </w:r>
      <w:proofErr w:type="spellEnd"/>
      <w:r w:rsidRPr="008964D7">
        <w:rPr>
          <w:rFonts w:ascii="Times New Roman" w:hAnsi="Times New Roman" w:cs="Times New Roman"/>
          <w:sz w:val="22"/>
          <w:lang w:val="en-US"/>
        </w:rPr>
        <w:t xml:space="preserve"> HR, Madden PAF, </w:t>
      </w:r>
      <w:proofErr w:type="spellStart"/>
      <w:r w:rsidRPr="008964D7">
        <w:rPr>
          <w:rFonts w:ascii="Times New Roman" w:hAnsi="Times New Roman" w:cs="Times New Roman"/>
          <w:sz w:val="22"/>
          <w:lang w:val="en-US"/>
        </w:rPr>
        <w:t>Maes</w:t>
      </w:r>
      <w:proofErr w:type="spellEnd"/>
      <w:r w:rsidRPr="008964D7">
        <w:rPr>
          <w:rFonts w:ascii="Times New Roman" w:hAnsi="Times New Roman" w:cs="Times New Roman"/>
          <w:sz w:val="22"/>
          <w:lang w:val="en-US"/>
        </w:rPr>
        <w:t xml:space="preserve"> HH, Maher BS, Martin NG, </w:t>
      </w:r>
      <w:proofErr w:type="spellStart"/>
      <w:r w:rsidRPr="008964D7">
        <w:rPr>
          <w:rFonts w:ascii="Times New Roman" w:hAnsi="Times New Roman" w:cs="Times New Roman"/>
          <w:sz w:val="22"/>
          <w:lang w:val="en-US"/>
        </w:rPr>
        <w:t>McGue</w:t>
      </w:r>
      <w:proofErr w:type="spellEnd"/>
      <w:r w:rsidRPr="008964D7">
        <w:rPr>
          <w:rFonts w:ascii="Times New Roman" w:hAnsi="Times New Roman" w:cs="Times New Roman"/>
          <w:sz w:val="22"/>
          <w:lang w:val="en-US"/>
        </w:rPr>
        <w:t xml:space="preserve"> M, McIntosh AM, </w:t>
      </w:r>
      <w:proofErr w:type="spellStart"/>
      <w:r w:rsidRPr="008964D7">
        <w:rPr>
          <w:rFonts w:ascii="Times New Roman" w:hAnsi="Times New Roman" w:cs="Times New Roman"/>
          <w:sz w:val="22"/>
          <w:lang w:val="en-US"/>
        </w:rPr>
        <w:t>Medland</w:t>
      </w:r>
      <w:proofErr w:type="spellEnd"/>
      <w:r w:rsidRPr="008964D7">
        <w:rPr>
          <w:rFonts w:ascii="Times New Roman" w:hAnsi="Times New Roman" w:cs="Times New Roman"/>
          <w:sz w:val="22"/>
          <w:lang w:val="en-US"/>
        </w:rPr>
        <w:t xml:space="preserve"> SE, Nelson EC, </w:t>
      </w:r>
      <w:proofErr w:type="spellStart"/>
      <w:r w:rsidRPr="008964D7">
        <w:rPr>
          <w:rFonts w:ascii="Times New Roman" w:hAnsi="Times New Roman" w:cs="Times New Roman"/>
          <w:sz w:val="22"/>
          <w:lang w:val="en-US"/>
        </w:rPr>
        <w:t>Porjesz</w:t>
      </w:r>
      <w:proofErr w:type="spellEnd"/>
      <w:r w:rsidRPr="008964D7">
        <w:rPr>
          <w:rFonts w:ascii="Times New Roman" w:hAnsi="Times New Roman" w:cs="Times New Roman"/>
          <w:sz w:val="22"/>
          <w:lang w:val="en-US"/>
        </w:rPr>
        <w:t xml:space="preserve"> B, Riley BP, Stallings MC, </w:t>
      </w:r>
      <w:proofErr w:type="spellStart"/>
      <w:r w:rsidRPr="008964D7">
        <w:rPr>
          <w:rFonts w:ascii="Times New Roman" w:hAnsi="Times New Roman" w:cs="Times New Roman"/>
          <w:sz w:val="22"/>
          <w:lang w:val="en-US"/>
        </w:rPr>
        <w:t>Vanyukov</w:t>
      </w:r>
      <w:proofErr w:type="spellEnd"/>
      <w:r w:rsidRPr="008964D7">
        <w:rPr>
          <w:rFonts w:ascii="Times New Roman" w:hAnsi="Times New Roman" w:cs="Times New Roman"/>
          <w:sz w:val="22"/>
          <w:lang w:val="en-US"/>
        </w:rPr>
        <w:t xml:space="preserve"> MM, </w:t>
      </w:r>
      <w:proofErr w:type="spellStart"/>
      <w:r w:rsidRPr="008964D7">
        <w:rPr>
          <w:rFonts w:ascii="Times New Roman" w:hAnsi="Times New Roman" w:cs="Times New Roman"/>
          <w:sz w:val="22"/>
          <w:lang w:val="en-US"/>
        </w:rPr>
        <w:t>Vrieze</w:t>
      </w:r>
      <w:proofErr w:type="spellEnd"/>
      <w:r w:rsidRPr="008964D7">
        <w:rPr>
          <w:rFonts w:ascii="Times New Roman" w:hAnsi="Times New Roman" w:cs="Times New Roman"/>
          <w:sz w:val="22"/>
          <w:lang w:val="en-US"/>
        </w:rPr>
        <w:t xml:space="preserve"> S, Davis LK, Bogdan R, Gelernter J, </w:t>
      </w:r>
      <w:proofErr w:type="spellStart"/>
      <w:r w:rsidRPr="008964D7">
        <w:rPr>
          <w:rFonts w:ascii="Times New Roman" w:hAnsi="Times New Roman" w:cs="Times New Roman"/>
          <w:sz w:val="22"/>
          <w:lang w:val="en-US"/>
        </w:rPr>
        <w:t>Edenberg</w:t>
      </w:r>
      <w:proofErr w:type="spellEnd"/>
      <w:r w:rsidRPr="008964D7">
        <w:rPr>
          <w:rFonts w:ascii="Times New Roman" w:hAnsi="Times New Roman" w:cs="Times New Roman"/>
          <w:sz w:val="22"/>
          <w:lang w:val="en-US"/>
        </w:rPr>
        <w:t xml:space="preserve"> HJ, Stefansson K, </w:t>
      </w:r>
      <w:proofErr w:type="spellStart"/>
      <w:r w:rsidRPr="008964D7">
        <w:rPr>
          <w:rFonts w:ascii="Times New Roman" w:hAnsi="Times New Roman" w:cs="Times New Roman"/>
          <w:sz w:val="22"/>
          <w:lang w:val="en-US"/>
        </w:rPr>
        <w:t>Børglum</w:t>
      </w:r>
      <w:proofErr w:type="spellEnd"/>
      <w:r w:rsidRPr="008964D7">
        <w:rPr>
          <w:rFonts w:ascii="Times New Roman" w:hAnsi="Times New Roman" w:cs="Times New Roman"/>
          <w:sz w:val="22"/>
          <w:lang w:val="en-US"/>
        </w:rPr>
        <w:t xml:space="preserve"> AD, Agrawal A. A large-scale genome-wide association study meta-analysis of cannabis use disorder. </w:t>
      </w:r>
      <w:r w:rsidRPr="008964D7">
        <w:rPr>
          <w:rFonts w:ascii="Times New Roman" w:hAnsi="Times New Roman" w:cs="Times New Roman"/>
          <w:sz w:val="22"/>
        </w:rPr>
        <w:t xml:space="preserve">Lancet </w:t>
      </w:r>
      <w:proofErr w:type="spellStart"/>
      <w:r w:rsidRPr="008964D7">
        <w:rPr>
          <w:rFonts w:ascii="Times New Roman" w:hAnsi="Times New Roman" w:cs="Times New Roman"/>
          <w:sz w:val="22"/>
        </w:rPr>
        <w:t>Psychiatry</w:t>
      </w:r>
      <w:proofErr w:type="spellEnd"/>
      <w:r w:rsidRPr="008964D7">
        <w:rPr>
          <w:rFonts w:ascii="Times New Roman" w:hAnsi="Times New Roman" w:cs="Times New Roman"/>
          <w:sz w:val="22"/>
        </w:rPr>
        <w:t xml:space="preserve">. 2020 </w:t>
      </w:r>
      <w:proofErr w:type="gramStart"/>
      <w:r w:rsidRPr="008964D7">
        <w:rPr>
          <w:rFonts w:ascii="Times New Roman" w:hAnsi="Times New Roman" w:cs="Times New Roman"/>
          <w:sz w:val="22"/>
        </w:rPr>
        <w:t>Dec;</w:t>
      </w:r>
      <w:proofErr w:type="gramEnd"/>
      <w:r w:rsidRPr="008964D7">
        <w:rPr>
          <w:rFonts w:ascii="Times New Roman" w:hAnsi="Times New Roman" w:cs="Times New Roman"/>
          <w:sz w:val="22"/>
        </w:rPr>
        <w:t xml:space="preserve">7(12):1032–45. </w:t>
      </w:r>
      <w:r>
        <w:rPr>
          <w:rFonts w:ascii="Times New Roman" w:hAnsi="Times New Roman" w:cs="Times New Roman"/>
          <w:b/>
          <w:bCs/>
          <w:sz w:val="22"/>
          <w:szCs w:val="22"/>
          <w:lang w:val="en-US"/>
        </w:rPr>
        <w:fldChar w:fldCharType="end"/>
      </w:r>
    </w:p>
    <w:sectPr w:rsidR="008964D7" w:rsidRPr="008964D7" w:rsidSect="008950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6405" w14:textId="77777777" w:rsidR="003C4C3A" w:rsidRDefault="003C4C3A" w:rsidP="00E70237">
      <w:pPr>
        <w:spacing w:after="0" w:line="240" w:lineRule="auto"/>
      </w:pPr>
      <w:r>
        <w:separator/>
      </w:r>
    </w:p>
  </w:endnote>
  <w:endnote w:type="continuationSeparator" w:id="0">
    <w:p w14:paraId="58EB8DF6" w14:textId="77777777" w:rsidR="003C4C3A" w:rsidRDefault="003C4C3A" w:rsidP="00E70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26F0" w14:textId="77777777" w:rsidR="003C4C3A" w:rsidRDefault="003C4C3A" w:rsidP="00E70237">
      <w:pPr>
        <w:spacing w:after="0" w:line="240" w:lineRule="auto"/>
      </w:pPr>
      <w:r>
        <w:separator/>
      </w:r>
    </w:p>
  </w:footnote>
  <w:footnote w:type="continuationSeparator" w:id="0">
    <w:p w14:paraId="53C5FD39" w14:textId="77777777" w:rsidR="003C4C3A" w:rsidRDefault="003C4C3A" w:rsidP="00E70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14BE5"/>
    <w:multiLevelType w:val="multilevel"/>
    <w:tmpl w:val="9192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86CD7"/>
    <w:multiLevelType w:val="multilevel"/>
    <w:tmpl w:val="A1B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15D04"/>
    <w:multiLevelType w:val="hybridMultilevel"/>
    <w:tmpl w:val="5172F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8270BD"/>
    <w:multiLevelType w:val="hybridMultilevel"/>
    <w:tmpl w:val="410A8B8E"/>
    <w:lvl w:ilvl="0" w:tplc="0DDE80D8">
      <w:start w:val="1"/>
      <w:numFmt w:val="upperLetter"/>
      <w:lvlText w:val="(%1)"/>
      <w:lvlJc w:val="left"/>
      <w:pPr>
        <w:ind w:left="770" w:hanging="4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73289652">
    <w:abstractNumId w:val="0"/>
  </w:num>
  <w:num w:numId="2" w16cid:durableId="619410099">
    <w:abstractNumId w:val="1"/>
  </w:num>
  <w:num w:numId="3" w16cid:durableId="1921669164">
    <w:abstractNumId w:val="3"/>
  </w:num>
  <w:num w:numId="4" w16cid:durableId="1934164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CB0"/>
    <w:rsid w:val="000131BE"/>
    <w:rsid w:val="000314B6"/>
    <w:rsid w:val="000829A6"/>
    <w:rsid w:val="000A28D8"/>
    <w:rsid w:val="000A786B"/>
    <w:rsid w:val="000D6407"/>
    <w:rsid w:val="000E487B"/>
    <w:rsid w:val="000E71AA"/>
    <w:rsid w:val="00107242"/>
    <w:rsid w:val="001131BA"/>
    <w:rsid w:val="0011604D"/>
    <w:rsid w:val="00117C55"/>
    <w:rsid w:val="001257DB"/>
    <w:rsid w:val="00146396"/>
    <w:rsid w:val="00157183"/>
    <w:rsid w:val="00195BCC"/>
    <w:rsid w:val="001B4B09"/>
    <w:rsid w:val="001C734E"/>
    <w:rsid w:val="001E618F"/>
    <w:rsid w:val="001F2643"/>
    <w:rsid w:val="00207537"/>
    <w:rsid w:val="00211498"/>
    <w:rsid w:val="0022172C"/>
    <w:rsid w:val="002554E2"/>
    <w:rsid w:val="00262F57"/>
    <w:rsid w:val="0026420C"/>
    <w:rsid w:val="00270131"/>
    <w:rsid w:val="00272EFB"/>
    <w:rsid w:val="0028572C"/>
    <w:rsid w:val="0029190F"/>
    <w:rsid w:val="002937D3"/>
    <w:rsid w:val="002D1C6C"/>
    <w:rsid w:val="003053CE"/>
    <w:rsid w:val="00336ABA"/>
    <w:rsid w:val="0034189F"/>
    <w:rsid w:val="00371C1F"/>
    <w:rsid w:val="00373CB0"/>
    <w:rsid w:val="003A2458"/>
    <w:rsid w:val="003A39CB"/>
    <w:rsid w:val="003C3B61"/>
    <w:rsid w:val="003C4C3A"/>
    <w:rsid w:val="003D1A7F"/>
    <w:rsid w:val="003D2EED"/>
    <w:rsid w:val="003F32E2"/>
    <w:rsid w:val="00435452"/>
    <w:rsid w:val="00492E9F"/>
    <w:rsid w:val="004A0FA1"/>
    <w:rsid w:val="004C25E2"/>
    <w:rsid w:val="004D22B8"/>
    <w:rsid w:val="00516F0A"/>
    <w:rsid w:val="00521E2E"/>
    <w:rsid w:val="005265BE"/>
    <w:rsid w:val="00557A5D"/>
    <w:rsid w:val="00567C23"/>
    <w:rsid w:val="005772EA"/>
    <w:rsid w:val="00591189"/>
    <w:rsid w:val="00597390"/>
    <w:rsid w:val="005A7E40"/>
    <w:rsid w:val="005A7ECD"/>
    <w:rsid w:val="005B51F8"/>
    <w:rsid w:val="005D02BA"/>
    <w:rsid w:val="005D3F1D"/>
    <w:rsid w:val="006029B3"/>
    <w:rsid w:val="00640F02"/>
    <w:rsid w:val="00663DD6"/>
    <w:rsid w:val="00685D13"/>
    <w:rsid w:val="00692C9E"/>
    <w:rsid w:val="006954C8"/>
    <w:rsid w:val="006B4278"/>
    <w:rsid w:val="006D284A"/>
    <w:rsid w:val="006E0FA9"/>
    <w:rsid w:val="006F6AFC"/>
    <w:rsid w:val="00703FA9"/>
    <w:rsid w:val="0070489C"/>
    <w:rsid w:val="00775FBC"/>
    <w:rsid w:val="00784853"/>
    <w:rsid w:val="00791256"/>
    <w:rsid w:val="007969CF"/>
    <w:rsid w:val="007B0983"/>
    <w:rsid w:val="007C0984"/>
    <w:rsid w:val="007C5FE3"/>
    <w:rsid w:val="007E1AA2"/>
    <w:rsid w:val="007F58D6"/>
    <w:rsid w:val="007F6F7E"/>
    <w:rsid w:val="00812892"/>
    <w:rsid w:val="00824A7A"/>
    <w:rsid w:val="008321AE"/>
    <w:rsid w:val="00834262"/>
    <w:rsid w:val="00837F13"/>
    <w:rsid w:val="00841454"/>
    <w:rsid w:val="0086187A"/>
    <w:rsid w:val="0089277C"/>
    <w:rsid w:val="008950DD"/>
    <w:rsid w:val="008964D7"/>
    <w:rsid w:val="008A3BDF"/>
    <w:rsid w:val="008A427D"/>
    <w:rsid w:val="008D26A1"/>
    <w:rsid w:val="008D2C60"/>
    <w:rsid w:val="008E1F88"/>
    <w:rsid w:val="008E46CD"/>
    <w:rsid w:val="008E55CE"/>
    <w:rsid w:val="00907331"/>
    <w:rsid w:val="00914CB9"/>
    <w:rsid w:val="00933E72"/>
    <w:rsid w:val="009A69F1"/>
    <w:rsid w:val="009B1161"/>
    <w:rsid w:val="009B76A7"/>
    <w:rsid w:val="009E6F64"/>
    <w:rsid w:val="009E74EE"/>
    <w:rsid w:val="009F2F44"/>
    <w:rsid w:val="00A43067"/>
    <w:rsid w:val="00A71AE0"/>
    <w:rsid w:val="00A905F3"/>
    <w:rsid w:val="00AA189E"/>
    <w:rsid w:val="00AA2D95"/>
    <w:rsid w:val="00AA6BE5"/>
    <w:rsid w:val="00AB0AAE"/>
    <w:rsid w:val="00AB7E08"/>
    <w:rsid w:val="00AD1029"/>
    <w:rsid w:val="00B00910"/>
    <w:rsid w:val="00B2621E"/>
    <w:rsid w:val="00B30573"/>
    <w:rsid w:val="00B30977"/>
    <w:rsid w:val="00B30EA5"/>
    <w:rsid w:val="00B46C54"/>
    <w:rsid w:val="00B5517B"/>
    <w:rsid w:val="00BB2618"/>
    <w:rsid w:val="00BD1D47"/>
    <w:rsid w:val="00BF7563"/>
    <w:rsid w:val="00C1212E"/>
    <w:rsid w:val="00C22549"/>
    <w:rsid w:val="00C40B0E"/>
    <w:rsid w:val="00C42569"/>
    <w:rsid w:val="00C5734E"/>
    <w:rsid w:val="00C81DA0"/>
    <w:rsid w:val="00CA00DE"/>
    <w:rsid w:val="00CA33A7"/>
    <w:rsid w:val="00CB7527"/>
    <w:rsid w:val="00CD538E"/>
    <w:rsid w:val="00D01021"/>
    <w:rsid w:val="00D20D63"/>
    <w:rsid w:val="00D74E7C"/>
    <w:rsid w:val="00D8303A"/>
    <w:rsid w:val="00DC7790"/>
    <w:rsid w:val="00E31246"/>
    <w:rsid w:val="00E36964"/>
    <w:rsid w:val="00E52AC5"/>
    <w:rsid w:val="00E70237"/>
    <w:rsid w:val="00E74CF3"/>
    <w:rsid w:val="00E87847"/>
    <w:rsid w:val="00EB4C90"/>
    <w:rsid w:val="00EC1190"/>
    <w:rsid w:val="00EE3425"/>
    <w:rsid w:val="00F0150A"/>
    <w:rsid w:val="00F0554A"/>
    <w:rsid w:val="00F22605"/>
    <w:rsid w:val="00F30DD3"/>
    <w:rsid w:val="00F35040"/>
    <w:rsid w:val="00F500CB"/>
    <w:rsid w:val="00F51626"/>
    <w:rsid w:val="00F67DEB"/>
    <w:rsid w:val="00F8508A"/>
    <w:rsid w:val="00F91D11"/>
    <w:rsid w:val="00FA3D2B"/>
    <w:rsid w:val="00FA5D74"/>
    <w:rsid w:val="00FA7249"/>
    <w:rsid w:val="00FB5850"/>
    <w:rsid w:val="00FD72B3"/>
    <w:rsid w:val="00FD7E88"/>
    <w:rsid w:val="00FF2C87"/>
    <w:rsid w:val="00FF51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ECD3"/>
  <w15:chartTrackingRefBased/>
  <w15:docId w15:val="{98F8BA9D-8663-4457-B590-2222EED1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CB0"/>
    <w:pPr>
      <w:spacing w:after="120" w:line="264" w:lineRule="auto"/>
    </w:pPr>
    <w:rPr>
      <w:rFonts w:eastAsiaTheme="minorEastAsia"/>
      <w:sz w:val="20"/>
      <w:szCs w:val="20"/>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73CB0"/>
    <w:pPr>
      <w:spacing w:after="0" w:line="240" w:lineRule="auto"/>
    </w:pPr>
    <w:rPr>
      <w:rFonts w:eastAsiaTheme="minorEastAsia"/>
      <w:sz w:val="20"/>
      <w:szCs w:val="20"/>
      <w:lang w:val="fr-CH"/>
    </w:rPr>
  </w:style>
  <w:style w:type="table" w:styleId="Grilledutableau">
    <w:name w:val="Table Grid"/>
    <w:basedOn w:val="TableauNormal"/>
    <w:uiPriority w:val="59"/>
    <w:rsid w:val="006E0FA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E0FA9"/>
    <w:rPr>
      <w:b/>
      <w:bCs/>
    </w:rPr>
  </w:style>
  <w:style w:type="character" w:styleId="Lienhypertexte">
    <w:name w:val="Hyperlink"/>
    <w:basedOn w:val="Policepardfaut"/>
    <w:uiPriority w:val="99"/>
    <w:unhideWhenUsed/>
    <w:rsid w:val="006E0FA9"/>
    <w:rPr>
      <w:color w:val="0563C1" w:themeColor="hyperlink"/>
      <w:u w:val="single"/>
    </w:rPr>
  </w:style>
  <w:style w:type="character" w:styleId="Lienhypertextesuivivisit">
    <w:name w:val="FollowedHyperlink"/>
    <w:basedOn w:val="Policepardfaut"/>
    <w:uiPriority w:val="99"/>
    <w:semiHidden/>
    <w:unhideWhenUsed/>
    <w:rsid w:val="005D02BA"/>
    <w:rPr>
      <w:color w:val="954F72" w:themeColor="followedHyperlink"/>
      <w:u w:val="single"/>
    </w:rPr>
  </w:style>
  <w:style w:type="character" w:styleId="Marquedecommentaire">
    <w:name w:val="annotation reference"/>
    <w:basedOn w:val="Policepardfaut"/>
    <w:uiPriority w:val="99"/>
    <w:semiHidden/>
    <w:unhideWhenUsed/>
    <w:rsid w:val="00F8508A"/>
    <w:rPr>
      <w:sz w:val="16"/>
      <w:szCs w:val="16"/>
    </w:rPr>
  </w:style>
  <w:style w:type="paragraph" w:styleId="Commentaire">
    <w:name w:val="annotation text"/>
    <w:basedOn w:val="Normal"/>
    <w:link w:val="CommentaireCar"/>
    <w:uiPriority w:val="99"/>
    <w:semiHidden/>
    <w:unhideWhenUsed/>
    <w:rsid w:val="00F8508A"/>
    <w:pPr>
      <w:spacing w:line="240" w:lineRule="auto"/>
    </w:pPr>
  </w:style>
  <w:style w:type="character" w:customStyle="1" w:styleId="CommentaireCar">
    <w:name w:val="Commentaire Car"/>
    <w:basedOn w:val="Policepardfaut"/>
    <w:link w:val="Commentaire"/>
    <w:uiPriority w:val="99"/>
    <w:semiHidden/>
    <w:rsid w:val="00F8508A"/>
    <w:rPr>
      <w:rFonts w:eastAsiaTheme="minorEastAsia"/>
      <w:sz w:val="20"/>
      <w:szCs w:val="20"/>
      <w:lang w:val="fr-CH"/>
    </w:rPr>
  </w:style>
  <w:style w:type="paragraph" w:styleId="Objetducommentaire">
    <w:name w:val="annotation subject"/>
    <w:basedOn w:val="Commentaire"/>
    <w:next w:val="Commentaire"/>
    <w:link w:val="ObjetducommentaireCar"/>
    <w:uiPriority w:val="99"/>
    <w:semiHidden/>
    <w:unhideWhenUsed/>
    <w:rsid w:val="00F8508A"/>
    <w:rPr>
      <w:b/>
      <w:bCs/>
    </w:rPr>
  </w:style>
  <w:style w:type="character" w:customStyle="1" w:styleId="ObjetducommentaireCar">
    <w:name w:val="Objet du commentaire Car"/>
    <w:basedOn w:val="CommentaireCar"/>
    <w:link w:val="Objetducommentaire"/>
    <w:uiPriority w:val="99"/>
    <w:semiHidden/>
    <w:rsid w:val="00F8508A"/>
    <w:rPr>
      <w:rFonts w:eastAsiaTheme="minorEastAsia"/>
      <w:b/>
      <w:bCs/>
      <w:sz w:val="20"/>
      <w:szCs w:val="20"/>
      <w:lang w:val="fr-CH"/>
    </w:rPr>
  </w:style>
  <w:style w:type="paragraph" w:styleId="Textedebulles">
    <w:name w:val="Balloon Text"/>
    <w:basedOn w:val="Normal"/>
    <w:link w:val="TextedebullesCar"/>
    <w:uiPriority w:val="99"/>
    <w:semiHidden/>
    <w:unhideWhenUsed/>
    <w:rsid w:val="00F850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508A"/>
    <w:rPr>
      <w:rFonts w:ascii="Segoe UI" w:eastAsiaTheme="minorEastAsia" w:hAnsi="Segoe UI" w:cs="Segoe UI"/>
      <w:sz w:val="18"/>
      <w:szCs w:val="18"/>
      <w:lang w:val="fr-CH"/>
    </w:rPr>
  </w:style>
  <w:style w:type="paragraph" w:customStyle="1" w:styleId="EndNoteBibliography">
    <w:name w:val="EndNote Bibliography"/>
    <w:basedOn w:val="Normal"/>
    <w:link w:val="EndNoteBibliographyCar"/>
    <w:rsid w:val="007E1AA2"/>
    <w:pPr>
      <w:spacing w:after="0" w:line="240" w:lineRule="auto"/>
    </w:pPr>
    <w:rPr>
      <w:rFonts w:ascii="Times New Roman" w:eastAsiaTheme="minorHAnsi" w:hAnsi="Times New Roman" w:cs="Times New Roman"/>
      <w:noProof/>
      <w:sz w:val="24"/>
      <w:szCs w:val="24"/>
      <w:lang w:val="en-GB" w:eastAsia="en-GB"/>
    </w:rPr>
  </w:style>
  <w:style w:type="character" w:customStyle="1" w:styleId="EndNoteBibliographyCar">
    <w:name w:val="EndNote Bibliography Car"/>
    <w:basedOn w:val="Policepardfaut"/>
    <w:link w:val="EndNoteBibliography"/>
    <w:rsid w:val="007E1AA2"/>
    <w:rPr>
      <w:rFonts w:ascii="Times New Roman" w:hAnsi="Times New Roman" w:cs="Times New Roman"/>
      <w:noProof/>
      <w:sz w:val="24"/>
      <w:szCs w:val="24"/>
      <w:lang w:val="en-GB" w:eastAsia="en-GB"/>
    </w:rPr>
  </w:style>
  <w:style w:type="paragraph" w:styleId="En-tte">
    <w:name w:val="header"/>
    <w:basedOn w:val="Normal"/>
    <w:link w:val="En-tteCar"/>
    <w:uiPriority w:val="99"/>
    <w:unhideWhenUsed/>
    <w:rsid w:val="00E70237"/>
    <w:pPr>
      <w:tabs>
        <w:tab w:val="center" w:pos="4536"/>
        <w:tab w:val="right" w:pos="9072"/>
      </w:tabs>
      <w:spacing w:after="0" w:line="240" w:lineRule="auto"/>
    </w:pPr>
  </w:style>
  <w:style w:type="character" w:customStyle="1" w:styleId="En-tteCar">
    <w:name w:val="En-tête Car"/>
    <w:basedOn w:val="Policepardfaut"/>
    <w:link w:val="En-tte"/>
    <w:uiPriority w:val="99"/>
    <w:rsid w:val="00E70237"/>
    <w:rPr>
      <w:rFonts w:eastAsiaTheme="minorEastAsia"/>
      <w:sz w:val="20"/>
      <w:szCs w:val="20"/>
      <w:lang w:val="fr-CH"/>
    </w:rPr>
  </w:style>
  <w:style w:type="paragraph" w:styleId="Pieddepage">
    <w:name w:val="footer"/>
    <w:basedOn w:val="Normal"/>
    <w:link w:val="PieddepageCar"/>
    <w:uiPriority w:val="99"/>
    <w:unhideWhenUsed/>
    <w:rsid w:val="00E702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0237"/>
    <w:rPr>
      <w:rFonts w:eastAsiaTheme="minorEastAsia"/>
      <w:sz w:val="20"/>
      <w:szCs w:val="20"/>
      <w:lang w:val="fr-CH"/>
    </w:rPr>
  </w:style>
  <w:style w:type="paragraph" w:styleId="Paragraphedeliste">
    <w:name w:val="List Paragraph"/>
    <w:basedOn w:val="Normal"/>
    <w:uiPriority w:val="34"/>
    <w:qFormat/>
    <w:rsid w:val="00AD1029"/>
    <w:pPr>
      <w:ind w:left="720"/>
      <w:contextualSpacing/>
    </w:pPr>
  </w:style>
  <w:style w:type="paragraph" w:styleId="Bibliographie">
    <w:name w:val="Bibliography"/>
    <w:basedOn w:val="Normal"/>
    <w:next w:val="Normal"/>
    <w:uiPriority w:val="37"/>
    <w:unhideWhenUsed/>
    <w:rsid w:val="002554E2"/>
    <w:pPr>
      <w:tabs>
        <w:tab w:val="left" w:pos="504"/>
      </w:tabs>
      <w:spacing w:after="24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500">
      <w:bodyDiv w:val="1"/>
      <w:marLeft w:val="0"/>
      <w:marRight w:val="0"/>
      <w:marTop w:val="0"/>
      <w:marBottom w:val="0"/>
      <w:divBdr>
        <w:top w:val="none" w:sz="0" w:space="0" w:color="auto"/>
        <w:left w:val="none" w:sz="0" w:space="0" w:color="auto"/>
        <w:bottom w:val="none" w:sz="0" w:space="0" w:color="auto"/>
        <w:right w:val="none" w:sz="0" w:space="0" w:color="auto"/>
      </w:divBdr>
    </w:div>
    <w:div w:id="33505197">
      <w:bodyDiv w:val="1"/>
      <w:marLeft w:val="0"/>
      <w:marRight w:val="0"/>
      <w:marTop w:val="0"/>
      <w:marBottom w:val="0"/>
      <w:divBdr>
        <w:top w:val="none" w:sz="0" w:space="0" w:color="auto"/>
        <w:left w:val="none" w:sz="0" w:space="0" w:color="auto"/>
        <w:bottom w:val="none" w:sz="0" w:space="0" w:color="auto"/>
        <w:right w:val="none" w:sz="0" w:space="0" w:color="auto"/>
      </w:divBdr>
    </w:div>
    <w:div w:id="954360655">
      <w:bodyDiv w:val="1"/>
      <w:marLeft w:val="0"/>
      <w:marRight w:val="0"/>
      <w:marTop w:val="0"/>
      <w:marBottom w:val="0"/>
      <w:divBdr>
        <w:top w:val="none" w:sz="0" w:space="0" w:color="auto"/>
        <w:left w:val="none" w:sz="0" w:space="0" w:color="auto"/>
        <w:bottom w:val="none" w:sz="0" w:space="0" w:color="auto"/>
        <w:right w:val="none" w:sz="0" w:space="0" w:color="auto"/>
      </w:divBdr>
    </w:div>
    <w:div w:id="1975482427">
      <w:bodyDiv w:val="1"/>
      <w:marLeft w:val="0"/>
      <w:marRight w:val="0"/>
      <w:marTop w:val="0"/>
      <w:marBottom w:val="0"/>
      <w:divBdr>
        <w:top w:val="none" w:sz="0" w:space="0" w:color="auto"/>
        <w:left w:val="none" w:sz="0" w:space="0" w:color="auto"/>
        <w:bottom w:val="none" w:sz="0" w:space="0" w:color="auto"/>
        <w:right w:val="none" w:sz="0" w:space="0" w:color="auto"/>
      </w:divBdr>
    </w:div>
    <w:div w:id="21421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748D5-D8EB-411A-ACBD-FA711E13B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4795</Words>
  <Characters>26377</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CHUV | Centre hospitalier universitaire vaudois</Company>
  <LinksUpToDate>false</LinksUpToDate>
  <CharactersWithSpaces>31110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Harpe Roxane</dc:creator>
  <cp:keywords/>
  <dc:description/>
  <cp:lastModifiedBy>De La Harpe Roxane</cp:lastModifiedBy>
  <cp:revision>7</cp:revision>
  <dcterms:created xsi:type="dcterms:W3CDTF">2023-02-28T08:44:00Z</dcterms:created>
  <dcterms:modified xsi:type="dcterms:W3CDTF">2023-05-11T16:31:00Z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id="0359GvBk"/&gt;&lt;style id="http://www.zotero.org/styles/national-library-of-medicine-brackets-no-et-al" hasBibliography="1" bibliographyStyleHasBeenSet="1"/&gt;&lt;prefs&gt;&lt;pref name="fieldType" value="Field"/</vt:lpwstr>
  </property>
  <property fmtid="{D5CDD505-2E9C-101B-9397-08002B2CF9AE}" pid="3" name="ZOTERO_PREF_2">
    <vt:lpwstr>&gt;&lt;/prefs&gt;&lt;/data&gt;</vt:lpwstr>
  </property>
</Properties>
</file>