
<file path=[Content_Types].xml><?xml version="1.0" encoding="utf-8"?>
<Types xmlns="http://schemas.openxmlformats.org/package/2006/content-types">
  <Default Extension="xml" ContentType="application/xml"/>
  <Default Extension="bin" ContentType="application/vnd.openxmlformats-officedocument.oleObject"/>
  <Default Extension="tiff" ContentType="image/tif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rPr>
          <w:rFonts w:ascii="Times New Roman" w:hAnsi="Times New Roman" w:cs="Times New Roman"/>
          <w:b/>
          <w:bCs/>
          <w:sz w:val="32"/>
          <w:szCs w:val="32"/>
        </w:rPr>
      </w:pPr>
      <w:r>
        <w:rPr>
          <w:rFonts w:ascii="Arial" w:hAnsi="Arial" w:cs="Arial"/>
          <w:b/>
          <w:bCs/>
          <w:sz w:val="30"/>
          <w:szCs w:val="30"/>
        </w:rPr>
        <w:t xml:space="preserve">Supplementary Information: </w:t>
      </w:r>
      <w:r>
        <w:rPr>
          <w:rFonts w:ascii="Arial" w:hAnsi="Arial" w:cs="Arial"/>
          <w:b/>
          <w:sz w:val="30"/>
          <w:szCs w:val="30"/>
        </w:rPr>
        <w:t xml:space="preserve">Identifying </w:t>
      </w:r>
      <w:r>
        <w:rPr>
          <w:rFonts w:ascii="Arial" w:hAnsi="Arial" w:eastAsia="MS Mincho" w:cs="Arial"/>
          <w:b/>
          <w:sz w:val="30"/>
          <w:szCs w:val="30"/>
          <w:lang w:eastAsia="ja-JP"/>
        </w:rPr>
        <w:t>critical state</w:t>
      </w:r>
      <w:r>
        <w:rPr>
          <w:rFonts w:ascii="Arial" w:hAnsi="Arial" w:eastAsia="宋体" w:cs="Arial"/>
          <w:b/>
          <w:sz w:val="30"/>
          <w:szCs w:val="30"/>
        </w:rPr>
        <w:t xml:space="preserve"> </w:t>
      </w:r>
      <w:r>
        <w:rPr>
          <w:rFonts w:ascii="Arial" w:hAnsi="Arial" w:cs="Arial"/>
          <w:b/>
          <w:sz w:val="30"/>
          <w:szCs w:val="30"/>
        </w:rPr>
        <w:t xml:space="preserve">by </w:t>
      </w:r>
      <w:r>
        <w:rPr>
          <w:rFonts w:ascii="Arial" w:hAnsi="Arial" w:cs="Arial"/>
          <w:b/>
          <w:bCs/>
          <w:sz w:val="30"/>
          <w:szCs w:val="30"/>
        </w:rPr>
        <w:t>single-sample Kullback–Leible</w:t>
      </w:r>
      <w:r>
        <w:rPr>
          <w:rFonts w:hint="eastAsia" w:ascii="Arial" w:hAnsi="Arial" w:cs="Arial"/>
          <w:b/>
          <w:bCs/>
          <w:sz w:val="30"/>
          <w:szCs w:val="30"/>
        </w:rPr>
        <w:t>r</w:t>
      </w:r>
      <w:r>
        <w:rPr>
          <w:rFonts w:ascii="Arial" w:hAnsi="Arial" w:cs="Arial"/>
          <w:b/>
          <w:bCs/>
          <w:sz w:val="30"/>
          <w:szCs w:val="30"/>
        </w:rPr>
        <w:t xml:space="preserve"> divergence</w:t>
      </w:r>
    </w:p>
    <w:p>
      <w:pPr>
        <w:spacing w:before="156" w:beforeLines="50" w:after="156" w:afterLines="50" w:line="360" w:lineRule="auto"/>
        <w:jc w:val="center"/>
        <w:rPr>
          <w:rFonts w:ascii="Times New Roman" w:hAnsi="Times New Roman" w:cs="Times New Roman"/>
          <w:b/>
          <w:bCs/>
          <w:sz w:val="32"/>
          <w:szCs w:val="32"/>
        </w:rPr>
      </w:pPr>
    </w:p>
    <w:p>
      <w:pPr>
        <w:spacing w:before="156" w:beforeLines="50" w:after="156" w:afterLines="50" w:line="360" w:lineRule="auto"/>
        <w:rPr>
          <w:rFonts w:ascii="Arial" w:hAnsi="Arial" w:cs="Arial"/>
          <w:b/>
          <w:bCs/>
          <w:sz w:val="24"/>
        </w:rPr>
      </w:pPr>
      <w:r>
        <w:rPr>
          <w:rFonts w:ascii="Arial" w:hAnsi="Arial" w:cs="Arial"/>
          <w:b/>
          <w:bCs/>
          <w:sz w:val="24"/>
        </w:rPr>
        <w:t>Contents</w:t>
      </w:r>
    </w:p>
    <w:sdt>
      <w:sdtPr>
        <w:rPr>
          <w:rFonts w:ascii="宋体" w:hAnsi="宋体" w:eastAsia="宋体"/>
          <w:kern w:val="0"/>
          <w:sz w:val="20"/>
          <w:szCs w:val="20"/>
        </w:rPr>
        <w:id w:val="-1075888030"/>
        <w15:color w:val="DBDBDB"/>
        <w:docPartObj>
          <w:docPartGallery w:val="Table of Contents"/>
          <w:docPartUnique/>
        </w:docPartObj>
      </w:sdtPr>
      <w:sdtEndPr>
        <w:rPr>
          <w:rFonts w:ascii="宋体" w:hAnsi="宋体" w:eastAsia="宋体"/>
          <w:kern w:val="0"/>
          <w:sz w:val="20"/>
          <w:szCs w:val="20"/>
        </w:rPr>
      </w:sdtEndPr>
      <w:sdtContent>
        <w:p>
          <w:pPr>
            <w:spacing w:before="156" w:beforeLines="50" w:after="156" w:afterLines="50" w:line="360" w:lineRule="auto"/>
            <w:jc w:val="center"/>
          </w:pPr>
          <w:bookmarkStart w:id="0" w:name="_Toc26125_WPSOffice_Type1"/>
        </w:p>
        <w:p>
          <w:pPr>
            <w:pStyle w:val="14"/>
            <w:tabs>
              <w:tab w:val="right" w:leader="dot" w:pos="8306"/>
            </w:tabs>
            <w:spacing w:before="156" w:beforeLines="50" w:after="156" w:afterLines="50" w:line="360" w:lineRule="auto"/>
          </w:pPr>
          <w:sdt>
            <w:sdtPr>
              <w:rPr>
                <w:rFonts w:ascii="Arial" w:hAnsi="Arial" w:cs="Arial"/>
                <w:b/>
                <w:bCs/>
                <w:kern w:val="2"/>
                <w:sz w:val="18"/>
                <w:szCs w:val="18"/>
              </w:rPr>
              <w:id w:val="147455210"/>
              <w:placeholder>
                <w:docPart w:val="{5b956777-522c-46e5-96df-72645b649ef7}"/>
              </w:placeholder>
              <w15:color w:val="509DF3"/>
            </w:sdtPr>
            <w:sdtEndPr>
              <w:rPr>
                <w:rFonts w:ascii="Arial" w:hAnsi="Arial" w:cs="Arial"/>
                <w:b w:val="0"/>
                <w:bCs w:val="0"/>
                <w:kern w:val="2"/>
                <w:sz w:val="24"/>
                <w:szCs w:val="24"/>
              </w:rPr>
            </w:sdtEndPr>
            <w:sdtContent>
              <w:r>
                <w:rPr>
                  <w:rFonts w:hint="eastAsia" w:ascii="Arial" w:hAnsi="Arial" w:cs="Arial"/>
                  <w:b/>
                  <w:bCs/>
                  <w:kern w:val="2"/>
                  <w:sz w:val="18"/>
                  <w:szCs w:val="18"/>
                </w:rPr>
                <w:t xml:space="preserve">A. </w:t>
              </w:r>
              <w:r>
                <w:rPr>
                  <w:rStyle w:val="11"/>
                  <w:rFonts w:ascii="Arial" w:hAnsi="Arial" w:cs="Arial"/>
                  <w:b/>
                  <w:bCs/>
                  <w:color w:val="262626" w:themeColor="text1" w:themeTint="D9"/>
                  <w:sz w:val="18"/>
                  <w:szCs w:val="18"/>
                  <w14:textFill>
                    <w14:solidFill>
                      <w14:schemeClr w14:val="tx1">
                        <w14:lumMod w14:val="85000"/>
                        <w14:lumOff w14:val="15000"/>
                      </w14:schemeClr>
                    </w14:solidFill>
                  </w14:textFill>
                </w:rPr>
                <w:t xml:space="preserve">The detailed dynamical system theory about </w:t>
              </w:r>
              <w:r>
                <w:rPr>
                  <w:rFonts w:ascii="Arial" w:hAnsi="Arial" w:cs="Arial"/>
                  <w:b/>
                  <w:bCs/>
                  <w:sz w:val="18"/>
                  <w:szCs w:val="18"/>
                </w:rPr>
                <w:t>numerical simulation</w:t>
              </w:r>
              <w:r>
                <w:rPr>
                  <w:rStyle w:val="10"/>
                  <w:rFonts w:eastAsia="宋体"/>
                  <w:color w:val="auto"/>
                  <w:sz w:val="18"/>
                  <w:szCs w:val="18"/>
                </w:rPr>
                <w:tab/>
              </w:r>
            </w:sdtContent>
          </w:sdt>
          <w:r>
            <w:rPr>
              <w:rFonts w:hint="eastAsia"/>
            </w:rPr>
            <w:t>S2</w:t>
          </w:r>
        </w:p>
        <w:p>
          <w:pPr>
            <w:pStyle w:val="14"/>
            <w:tabs>
              <w:tab w:val="right" w:leader="dot" w:pos="8306"/>
            </w:tabs>
            <w:spacing w:before="156" w:beforeLines="50" w:after="156" w:afterLines="50" w:line="360" w:lineRule="auto"/>
            <w:rPr>
              <w:rFonts w:hint="eastAsia" w:eastAsiaTheme="minorEastAsia"/>
              <w:lang w:eastAsia="zh-CN"/>
            </w:rPr>
          </w:pPr>
          <w:sdt>
            <w:sdtPr>
              <w:rPr>
                <w:rFonts w:ascii="Arial" w:hAnsi="Arial" w:cs="Arial"/>
                <w:b/>
                <w:bCs/>
                <w:kern w:val="2"/>
                <w:sz w:val="18"/>
                <w:szCs w:val="18"/>
              </w:rPr>
              <w:id w:val="405353366"/>
              <w:placeholder>
                <w:docPart w:val="{32bd1086-d8ab-4eb7-a754-8692c51fc69f}"/>
              </w:placeholder>
              <w15:color w:val="509DF3"/>
            </w:sdtPr>
            <w:sdtEndPr>
              <w:rPr>
                <w:rFonts w:ascii="Arial" w:hAnsi="Arial" w:cs="Arial"/>
                <w:b/>
                <w:bCs/>
                <w:kern w:val="2"/>
                <w:sz w:val="24"/>
                <w:szCs w:val="24"/>
              </w:rPr>
            </w:sdtEndPr>
            <w:sdtContent>
              <w:r>
                <w:rPr>
                  <w:rFonts w:hint="eastAsia" w:ascii="Arial" w:hAnsi="Arial" w:cs="Arial"/>
                  <w:b/>
                  <w:bCs/>
                  <w:kern w:val="2"/>
                  <w:sz w:val="18"/>
                  <w:szCs w:val="18"/>
                </w:rPr>
                <w:t xml:space="preserve">B. </w:t>
              </w:r>
              <w:r>
                <w:rPr>
                  <w:rFonts w:ascii="Arial" w:hAnsi="Arial" w:cs="Arial"/>
                  <w:b/>
                  <w:bCs/>
                  <w:color w:val="262626" w:themeColor="text1" w:themeTint="D9"/>
                  <w:sz w:val="18"/>
                  <w:szCs w:val="18"/>
                  <w14:textFill>
                    <w14:solidFill>
                      <w14:schemeClr w14:val="tx1">
                        <w14:lumMod w14:val="85000"/>
                        <w14:lumOff w14:val="15000"/>
                      </w14:schemeClr>
                    </w14:solidFill>
                  </w14:textFill>
                </w:rPr>
                <w:t>V</w:t>
              </w:r>
              <w:r>
                <w:rPr>
                  <w:rStyle w:val="10"/>
                  <w:b/>
                  <w:bCs/>
                  <w:color w:val="auto"/>
                  <w:sz w:val="18"/>
                  <w:szCs w:val="18"/>
                </w:rPr>
                <w:t>alidat</w:t>
              </w:r>
              <w:r>
                <w:rPr>
                  <w:rStyle w:val="10"/>
                  <w:rFonts w:eastAsia="宋体"/>
                  <w:b/>
                  <w:bCs/>
                  <w:color w:val="auto"/>
                  <w:sz w:val="18"/>
                  <w:szCs w:val="18"/>
                </w:rPr>
                <w:t>ing</w:t>
              </w:r>
              <w:r>
                <w:rPr>
                  <w:rStyle w:val="10"/>
                  <w:b/>
                  <w:bCs/>
                  <w:color w:val="auto"/>
                  <w:sz w:val="18"/>
                  <w:szCs w:val="18"/>
                </w:rPr>
                <w:t xml:space="preserve"> the identified critical state</w:t>
              </w:r>
              <w:r>
                <w:rPr>
                  <w:rStyle w:val="10"/>
                  <w:rFonts w:eastAsia="宋体"/>
                  <w:b/>
                  <w:bCs/>
                  <w:color w:val="auto"/>
                  <w:sz w:val="18"/>
                  <w:szCs w:val="18"/>
                </w:rPr>
                <w:t xml:space="preserve"> by </w:t>
              </w:r>
              <w:r>
                <w:rPr>
                  <w:rFonts w:ascii="Arial" w:hAnsi="Arial" w:cs="Arial"/>
                  <w:b/>
                  <w:bCs/>
                  <w:sz w:val="18"/>
                  <w:szCs w:val="18"/>
                </w:rPr>
                <w:t xml:space="preserve">The </w:t>
              </w:r>
              <w:r>
                <w:rPr>
                  <w:rStyle w:val="10"/>
                  <w:b/>
                  <w:bCs/>
                  <w:color w:val="262626" w:themeColor="text1" w:themeTint="D9"/>
                  <w:sz w:val="18"/>
                  <w:szCs w:val="18"/>
                  <w14:textFill>
                    <w14:solidFill>
                      <w14:schemeClr w14:val="tx1">
                        <w14:lumMod w14:val="85000"/>
                        <w14:lumOff w14:val="15000"/>
                      </w14:schemeClr>
                    </w14:solidFill>
                  </w14:textFill>
                </w:rPr>
                <w:t>Kaplan-Meier (log-rank) survival analysis</w:t>
              </w:r>
              <w:r>
                <w:rPr>
                  <w:rStyle w:val="10"/>
                  <w:rFonts w:eastAsia="宋体"/>
                  <w:color w:val="auto"/>
                  <w:sz w:val="18"/>
                  <w:szCs w:val="18"/>
                </w:rPr>
                <w:tab/>
              </w:r>
            </w:sdtContent>
          </w:sdt>
          <w:r>
            <w:rPr>
              <w:rFonts w:hint="eastAsia"/>
            </w:rPr>
            <w:t>S</w:t>
          </w:r>
          <w:r>
            <w:rPr>
              <w:rFonts w:hint="eastAsia"/>
              <w:lang w:val="en-US" w:eastAsia="zh-CN"/>
            </w:rPr>
            <w:t>5</w:t>
          </w:r>
        </w:p>
        <w:p>
          <w:pPr>
            <w:pStyle w:val="14"/>
            <w:tabs>
              <w:tab w:val="right" w:leader="dot" w:pos="8306"/>
            </w:tabs>
            <w:spacing w:before="156" w:beforeLines="50" w:after="156" w:afterLines="50" w:line="360" w:lineRule="auto"/>
          </w:pPr>
          <w:sdt>
            <w:sdtPr>
              <w:rPr>
                <w:rFonts w:ascii="Arial" w:hAnsi="Arial" w:cs="Arial"/>
                <w:b/>
                <w:bCs/>
                <w:kern w:val="2"/>
                <w:sz w:val="24"/>
                <w:szCs w:val="24"/>
              </w:rPr>
              <w:id w:val="1166368867"/>
              <w:placeholder>
                <w:docPart w:val="{481db0a4-e581-40e2-8ef8-598e411ed002}"/>
              </w:placeholder>
              <w15:color w:val="509DF3"/>
            </w:sdtPr>
            <w:sdtEndPr>
              <w:rPr>
                <w:rFonts w:ascii="Arial" w:hAnsi="Arial" w:cs="Arial"/>
                <w:b/>
                <w:bCs/>
                <w:kern w:val="2"/>
                <w:sz w:val="24"/>
                <w:szCs w:val="24"/>
              </w:rPr>
            </w:sdtEndPr>
            <w:sdtContent>
              <w:r>
                <w:rPr>
                  <w:rFonts w:hint="eastAsia" w:ascii="Arial" w:hAnsi="Arial" w:cs="Arial"/>
                  <w:b/>
                  <w:bCs/>
                  <w:kern w:val="2"/>
                  <w:sz w:val="24"/>
                  <w:szCs w:val="24"/>
                </w:rPr>
                <w:t xml:space="preserve">     </w:t>
              </w:r>
              <w:r>
                <w:rPr>
                  <w:rStyle w:val="10"/>
                  <w:rFonts w:eastAsia="宋体"/>
                  <w:color w:val="262626" w:themeColor="text1" w:themeTint="D9"/>
                  <w:sz w:val="18"/>
                  <w:szCs w:val="18"/>
                  <w14:textFill>
                    <w14:solidFill>
                      <w14:schemeClr w14:val="tx1">
                        <w14:lumMod w14:val="85000"/>
                        <w14:lumOff w14:val="15000"/>
                      </w14:schemeClr>
                    </w14:solidFill>
                  </w14:textFill>
                </w:rPr>
                <w:t xml:space="preserve">B1. </w:t>
              </w:r>
              <w:r>
                <w:rPr>
                  <w:rFonts w:ascii="Arial" w:hAnsi="Arial" w:cs="Arial"/>
                  <w:sz w:val="18"/>
                  <w:szCs w:val="18"/>
                </w:rPr>
                <w:t xml:space="preserve">A schematic </w:t>
              </w:r>
              <w:r>
                <w:rPr>
                  <w:rFonts w:ascii="Arial" w:hAnsi="Arial" w:cs="Arial"/>
                  <w:color w:val="262626" w:themeColor="text1" w:themeTint="D9"/>
                  <w:sz w:val="18"/>
                  <w:szCs w:val="18"/>
                  <w14:textFill>
                    <w14:solidFill>
                      <w14:schemeClr w14:val="tx1">
                        <w14:lumMod w14:val="85000"/>
                        <w14:lumOff w14:val="15000"/>
                      </w14:schemeClr>
                    </w14:solidFill>
                  </w14:textFill>
                </w:rPr>
                <w:t xml:space="preserve">for </w:t>
              </w:r>
              <w:r>
                <w:rPr>
                  <w:rStyle w:val="10"/>
                  <w:color w:val="auto"/>
                  <w:sz w:val="18"/>
                  <w:szCs w:val="18"/>
                </w:rPr>
                <w:t>validat</w:t>
              </w:r>
              <w:r>
                <w:rPr>
                  <w:rStyle w:val="10"/>
                  <w:rFonts w:eastAsia="宋体"/>
                  <w:color w:val="auto"/>
                  <w:sz w:val="18"/>
                  <w:szCs w:val="18"/>
                </w:rPr>
                <w:t>ing</w:t>
              </w:r>
              <w:r>
                <w:rPr>
                  <w:rStyle w:val="10"/>
                  <w:color w:val="auto"/>
                  <w:sz w:val="18"/>
                  <w:szCs w:val="18"/>
                </w:rPr>
                <w:t xml:space="preserve"> the identified critical state</w:t>
              </w:r>
              <w:r>
                <w:rPr>
                  <w:rStyle w:val="10"/>
                  <w:rFonts w:eastAsia="宋体"/>
                  <w:color w:val="auto"/>
                  <w:sz w:val="18"/>
                  <w:szCs w:val="18"/>
                </w:rPr>
                <w:tab/>
              </w:r>
              <w:r>
                <w:rPr>
                  <w:rStyle w:val="10"/>
                  <w:rFonts w:hint="eastAsia" w:eastAsia="宋体"/>
                  <w:color w:val="auto"/>
                  <w:sz w:val="18"/>
                  <w:szCs w:val="18"/>
                </w:rPr>
                <w:t>S</w:t>
              </w:r>
              <w:r>
                <w:rPr>
                  <w:rStyle w:val="10"/>
                  <w:rFonts w:hint="eastAsia" w:eastAsia="宋体"/>
                  <w:color w:val="auto"/>
                  <w:sz w:val="18"/>
                  <w:szCs w:val="18"/>
                  <w:lang w:val="en-US" w:eastAsia="zh-CN"/>
                </w:rPr>
                <w:t>5</w:t>
              </w:r>
            </w:sdtContent>
          </w:sdt>
        </w:p>
        <w:p>
          <w:pPr>
            <w:pStyle w:val="14"/>
            <w:tabs>
              <w:tab w:val="right" w:leader="dot" w:pos="8306"/>
            </w:tabs>
            <w:spacing w:before="156" w:beforeLines="50" w:after="156" w:afterLines="50" w:line="360" w:lineRule="auto"/>
          </w:pPr>
          <w:sdt>
            <w:sdtPr>
              <w:rPr>
                <w:rFonts w:ascii="Arial" w:hAnsi="Arial" w:cs="Arial"/>
                <w:b/>
                <w:bCs/>
                <w:kern w:val="2"/>
                <w:sz w:val="24"/>
                <w:szCs w:val="24"/>
              </w:rPr>
              <w:id w:val="224961202"/>
              <w:placeholder>
                <w:docPart w:val="{71cd63de-fa4a-43b4-8211-8070e78ecae8}"/>
              </w:placeholder>
              <w15:color w:val="509DF3"/>
            </w:sdtPr>
            <w:sdtEndPr>
              <w:rPr>
                <w:rFonts w:ascii="Arial" w:hAnsi="Arial" w:cs="Arial"/>
                <w:b/>
                <w:bCs/>
                <w:kern w:val="2"/>
                <w:sz w:val="24"/>
                <w:szCs w:val="24"/>
              </w:rPr>
            </w:sdtEndPr>
            <w:sdtContent>
              <w:r>
                <w:rPr>
                  <w:rFonts w:hint="eastAsia" w:ascii="Arial" w:hAnsi="Arial" w:cs="Arial"/>
                  <w:b/>
                  <w:bCs/>
                  <w:kern w:val="2"/>
                  <w:sz w:val="24"/>
                  <w:szCs w:val="24"/>
                </w:rPr>
                <w:t xml:space="preserve">     </w:t>
              </w:r>
              <w:r>
                <w:rPr>
                  <w:rStyle w:val="10"/>
                  <w:rFonts w:eastAsia="宋体"/>
                  <w:color w:val="262626" w:themeColor="text1" w:themeTint="D9"/>
                  <w:sz w:val="18"/>
                  <w:szCs w:val="18"/>
                  <w14:textFill>
                    <w14:solidFill>
                      <w14:schemeClr w14:val="tx1">
                        <w14:lumMod w14:val="85000"/>
                        <w14:lumOff w14:val="15000"/>
                      </w14:schemeClr>
                    </w14:solidFill>
                  </w14:textFill>
                </w:rPr>
                <w:t>B</w:t>
              </w:r>
              <w:r>
                <w:rPr>
                  <w:rStyle w:val="10"/>
                  <w:rFonts w:hint="eastAsia" w:eastAsia="宋体"/>
                  <w:color w:val="262626" w:themeColor="text1" w:themeTint="D9"/>
                  <w:sz w:val="18"/>
                  <w:szCs w:val="18"/>
                  <w14:textFill>
                    <w14:solidFill>
                      <w14:schemeClr w14:val="tx1">
                        <w14:lumMod w14:val="85000"/>
                        <w14:lumOff w14:val="15000"/>
                      </w14:schemeClr>
                    </w14:solidFill>
                  </w14:textFill>
                </w:rPr>
                <w:t>2</w:t>
              </w:r>
              <w:r>
                <w:rPr>
                  <w:rStyle w:val="10"/>
                  <w:rFonts w:eastAsia="宋体"/>
                  <w:color w:val="262626" w:themeColor="text1" w:themeTint="D9"/>
                  <w:sz w:val="18"/>
                  <w:szCs w:val="18"/>
                  <w14:textFill>
                    <w14:solidFill>
                      <w14:schemeClr w14:val="tx1">
                        <w14:lumMod w14:val="85000"/>
                        <w14:lumOff w14:val="15000"/>
                      </w14:schemeClr>
                    </w14:solidFill>
                  </w14:textFill>
                </w:rPr>
                <w:t xml:space="preserve">. </w:t>
              </w:r>
              <w:r>
                <w:rPr>
                  <w:rStyle w:val="10"/>
                  <w:rFonts w:hint="eastAsia" w:eastAsia="宋体"/>
                  <w:color w:val="262626" w:themeColor="text1" w:themeTint="D9"/>
                  <w:sz w:val="18"/>
                  <w:szCs w:val="18"/>
                  <w14:textFill>
                    <w14:solidFill>
                      <w14:schemeClr w14:val="tx1">
                        <w14:lumMod w14:val="85000"/>
                        <w14:lumOff w14:val="15000"/>
                      </w14:schemeClr>
                    </w14:solidFill>
                  </w14:textFill>
                </w:rPr>
                <w:t>V</w:t>
              </w:r>
              <w:r>
                <w:rPr>
                  <w:rStyle w:val="10"/>
                  <w:color w:val="auto"/>
                  <w:sz w:val="18"/>
                  <w:szCs w:val="18"/>
                </w:rPr>
                <w:t>alidat</w:t>
              </w:r>
              <w:r>
                <w:rPr>
                  <w:rStyle w:val="10"/>
                  <w:rFonts w:eastAsia="宋体"/>
                  <w:color w:val="auto"/>
                  <w:sz w:val="18"/>
                  <w:szCs w:val="18"/>
                </w:rPr>
                <w:t>ing</w:t>
              </w:r>
              <w:r>
                <w:rPr>
                  <w:rStyle w:val="10"/>
                  <w:color w:val="auto"/>
                  <w:sz w:val="18"/>
                  <w:szCs w:val="18"/>
                </w:rPr>
                <w:t xml:space="preserve"> the identified critical state</w:t>
              </w:r>
              <w:r>
                <w:rPr>
                  <w:rStyle w:val="10"/>
                  <w:rFonts w:hint="eastAsia" w:eastAsia="宋体"/>
                  <w:color w:val="auto"/>
                  <w:sz w:val="18"/>
                  <w:szCs w:val="18"/>
                </w:rPr>
                <w:t xml:space="preserve"> for five tumor disease</w:t>
              </w:r>
              <w:r>
                <w:rPr>
                  <w:rStyle w:val="10"/>
                  <w:rFonts w:eastAsia="宋体"/>
                  <w:color w:val="auto"/>
                  <w:sz w:val="18"/>
                  <w:szCs w:val="18"/>
                </w:rPr>
                <w:tab/>
              </w:r>
              <w:r>
                <w:rPr>
                  <w:rStyle w:val="10"/>
                  <w:rFonts w:hint="eastAsia" w:eastAsia="宋体"/>
                  <w:color w:val="auto"/>
                  <w:sz w:val="18"/>
                  <w:szCs w:val="18"/>
                </w:rPr>
                <w:t>S6</w:t>
              </w:r>
            </w:sdtContent>
          </w:sdt>
          <w:r>
            <w:tab/>
          </w:r>
        </w:p>
        <w:p>
          <w:pPr>
            <w:pStyle w:val="14"/>
            <w:tabs>
              <w:tab w:val="right" w:leader="dot" w:pos="8306"/>
            </w:tabs>
            <w:spacing w:before="156" w:beforeLines="50" w:after="156" w:afterLines="50" w:line="360" w:lineRule="auto"/>
            <w:rPr>
              <w:rFonts w:hint="eastAsia" w:eastAsiaTheme="minorEastAsia"/>
              <w:lang w:eastAsia="zh-CN"/>
            </w:rPr>
          </w:pPr>
          <w:sdt>
            <w:sdtPr>
              <w:rPr>
                <w:rFonts w:ascii="Arial" w:hAnsi="Arial" w:cs="Arial"/>
                <w:b/>
                <w:bCs/>
                <w:kern w:val="2"/>
                <w:sz w:val="18"/>
                <w:szCs w:val="18"/>
              </w:rPr>
              <w:id w:val="-636105856"/>
              <w:placeholder>
                <w:docPart w:val="{ed8bf395-2522-4c47-a3f9-a5a58195bf22}"/>
              </w:placeholder>
              <w15:color w:val="509DF3"/>
            </w:sdtPr>
            <w:sdtEndPr>
              <w:rPr>
                <w:rFonts w:ascii="Arial" w:hAnsi="Arial" w:cs="Arial"/>
                <w:b/>
                <w:bCs/>
                <w:kern w:val="2"/>
                <w:sz w:val="24"/>
                <w:szCs w:val="24"/>
              </w:rPr>
            </w:sdtEndPr>
            <w:sdtContent>
              <w:r>
                <w:rPr>
                  <w:rFonts w:hint="eastAsia" w:ascii="Arial" w:hAnsi="Arial" w:cs="Arial"/>
                  <w:b/>
                  <w:bCs/>
                  <w:kern w:val="2"/>
                  <w:sz w:val="18"/>
                  <w:szCs w:val="18"/>
                </w:rPr>
                <w:t>C</w:t>
              </w:r>
              <w:r>
                <w:rPr>
                  <w:rFonts w:hint="eastAsia" w:ascii="Arial" w:hAnsi="Arial" w:cs="Arial"/>
                  <w:b/>
                  <w:bCs/>
                  <w:kern w:val="2"/>
                  <w:sz w:val="16"/>
                  <w:szCs w:val="16"/>
                </w:rPr>
                <w:t xml:space="preserve">. </w:t>
              </w:r>
              <w:r>
                <w:rPr>
                  <w:rStyle w:val="10"/>
                  <w:rFonts w:hint="eastAsia" w:eastAsia="宋体"/>
                  <w:b/>
                  <w:bCs/>
                  <w:color w:val="auto"/>
                  <w:sz w:val="18"/>
                  <w:szCs w:val="18"/>
                </w:rPr>
                <w:t xml:space="preserve">The </w:t>
              </w:r>
              <w:r>
                <w:rPr>
                  <w:rStyle w:val="10"/>
                  <w:b/>
                  <w:bCs/>
                  <w:color w:val="262626" w:themeColor="text1" w:themeTint="D9"/>
                  <w:sz w:val="18"/>
                  <w:szCs w:val="18"/>
                  <w14:textFill>
                    <w14:solidFill>
                      <w14:schemeClr w14:val="tx1">
                        <w14:lumMod w14:val="85000"/>
                        <w14:lumOff w14:val="15000"/>
                      </w14:schemeClr>
                    </w14:solidFill>
                  </w14:textFill>
                </w:rPr>
                <w:t>functional analysis</w:t>
              </w:r>
              <w:r>
                <w:rPr>
                  <w:rStyle w:val="10"/>
                  <w:rFonts w:hint="eastAsia" w:eastAsia="宋体"/>
                  <w:b/>
                  <w:bCs/>
                  <w:color w:val="262626" w:themeColor="text1" w:themeTint="D9"/>
                  <w:sz w:val="18"/>
                  <w:szCs w:val="18"/>
                  <w14:textFill>
                    <w14:solidFill>
                      <w14:schemeClr w14:val="tx1">
                        <w14:lumMod w14:val="85000"/>
                        <w14:lumOff w14:val="15000"/>
                      </w14:schemeClr>
                    </w14:solidFill>
                  </w14:textFill>
                </w:rPr>
                <w:t xml:space="preserve"> for THCA and CAOD</w:t>
              </w:r>
              <w:bookmarkEnd w:id="0"/>
              <w:r>
                <w:rPr>
                  <w:rStyle w:val="10"/>
                  <w:rFonts w:eastAsia="宋体"/>
                  <w:color w:val="auto"/>
                  <w:sz w:val="18"/>
                  <w:szCs w:val="18"/>
                </w:rPr>
                <w:tab/>
              </w:r>
            </w:sdtContent>
          </w:sdt>
          <w:r>
            <w:rPr>
              <w:rFonts w:hint="eastAsia"/>
            </w:rPr>
            <w:t>S</w:t>
          </w:r>
          <w:r>
            <w:rPr>
              <w:rFonts w:hint="eastAsia"/>
              <w:lang w:val="en-US" w:eastAsia="zh-CN"/>
            </w:rPr>
            <w:t>9</w:t>
          </w:r>
        </w:p>
        <w:p>
          <w:pPr>
            <w:pStyle w:val="14"/>
            <w:tabs>
              <w:tab w:val="right" w:leader="dot" w:pos="8306"/>
            </w:tabs>
            <w:spacing w:before="156" w:beforeLines="50" w:after="156" w:afterLines="50" w:line="360" w:lineRule="auto"/>
            <w:jc w:val="center"/>
            <w:rPr>
              <w:rFonts w:hint="eastAsia" w:eastAsiaTheme="minorEastAsia"/>
              <w:lang w:eastAsia="zh-CN"/>
            </w:rPr>
          </w:pPr>
          <w:sdt>
            <w:sdtPr>
              <w:rPr>
                <w:rFonts w:ascii="Arial" w:hAnsi="Arial" w:cs="Arial"/>
                <w:b/>
                <w:bCs/>
                <w:kern w:val="2"/>
                <w:sz w:val="24"/>
                <w:szCs w:val="24"/>
              </w:rPr>
              <w:id w:val="1628054664"/>
              <w:placeholder>
                <w:docPart w:val="{5f9d538a-6afb-48bb-a9df-ced60120be92}"/>
              </w:placeholder>
              <w15:color w:val="509DF3"/>
            </w:sdtPr>
            <w:sdtEndPr>
              <w:rPr>
                <w:rFonts w:ascii="Arial" w:hAnsi="Arial" w:cs="Arial"/>
                <w:b/>
                <w:bCs/>
                <w:kern w:val="2"/>
                <w:sz w:val="24"/>
                <w:szCs w:val="24"/>
              </w:rPr>
            </w:sdtEndPr>
            <w:sdtContent>
              <w:r>
                <w:rPr>
                  <w:rFonts w:hint="eastAsia" w:ascii="Arial" w:hAnsi="Arial" w:cs="Arial"/>
                  <w:b/>
                  <w:bCs/>
                  <w:kern w:val="2"/>
                  <w:sz w:val="24"/>
                  <w:szCs w:val="24"/>
                </w:rPr>
                <w:t xml:space="preserve">     </w:t>
              </w:r>
              <w:r>
                <w:rPr>
                  <w:rStyle w:val="10"/>
                  <w:rFonts w:hint="eastAsia" w:eastAsia="宋体"/>
                  <w:color w:val="262626" w:themeColor="text1" w:themeTint="D9"/>
                  <w:sz w:val="18"/>
                  <w:szCs w:val="18"/>
                  <w14:textFill>
                    <w14:solidFill>
                      <w14:schemeClr w14:val="tx1">
                        <w14:lumMod w14:val="85000"/>
                        <w14:lumOff w14:val="15000"/>
                      </w14:schemeClr>
                    </w14:solidFill>
                  </w14:textFill>
                </w:rPr>
                <w:t>C</w:t>
              </w:r>
              <w:r>
                <w:rPr>
                  <w:rStyle w:val="10"/>
                  <w:rFonts w:eastAsia="宋体"/>
                  <w:color w:val="262626" w:themeColor="text1" w:themeTint="D9"/>
                  <w:sz w:val="18"/>
                  <w:szCs w:val="18"/>
                  <w14:textFill>
                    <w14:solidFill>
                      <w14:schemeClr w14:val="tx1">
                        <w14:lumMod w14:val="85000"/>
                        <w14:lumOff w14:val="15000"/>
                      </w14:schemeClr>
                    </w14:solidFill>
                  </w14:textFill>
                </w:rPr>
                <w:t xml:space="preserve">1. </w:t>
              </w:r>
              <w:r>
                <w:rPr>
                  <w:rStyle w:val="10"/>
                  <w:rFonts w:hint="eastAsia" w:eastAsia="宋体"/>
                  <w:color w:val="auto"/>
                  <w:sz w:val="18"/>
                  <w:szCs w:val="18"/>
                </w:rPr>
                <w:t xml:space="preserve">The </w:t>
              </w:r>
              <w:r>
                <w:rPr>
                  <w:rStyle w:val="10"/>
                  <w:color w:val="262626" w:themeColor="text1" w:themeTint="D9"/>
                  <w:sz w:val="18"/>
                  <w:szCs w:val="18"/>
                  <w14:textFill>
                    <w14:solidFill>
                      <w14:schemeClr w14:val="tx1">
                        <w14:lumMod w14:val="85000"/>
                        <w14:lumOff w14:val="15000"/>
                      </w14:schemeClr>
                    </w14:solidFill>
                  </w14:textFill>
                </w:rPr>
                <w:t>functional analysis</w:t>
              </w:r>
              <w:r>
                <w:rPr>
                  <w:rStyle w:val="10"/>
                  <w:rFonts w:hint="eastAsia" w:eastAsia="宋体"/>
                  <w:color w:val="262626" w:themeColor="text1" w:themeTint="D9"/>
                  <w:sz w:val="18"/>
                  <w:szCs w:val="18"/>
                  <w14:textFill>
                    <w14:solidFill>
                      <w14:schemeClr w14:val="tx1">
                        <w14:lumMod w14:val="85000"/>
                        <w14:lumOff w14:val="15000"/>
                      </w14:schemeClr>
                    </w14:solidFill>
                  </w14:textFill>
                </w:rPr>
                <w:t xml:space="preserve"> for THCA</w:t>
              </w:r>
              <w:r>
                <w:rPr>
                  <w:rStyle w:val="10"/>
                  <w:rFonts w:eastAsia="宋体"/>
                  <w:color w:val="auto"/>
                  <w:sz w:val="18"/>
                  <w:szCs w:val="18"/>
                </w:rPr>
                <w:tab/>
              </w:r>
            </w:sdtContent>
          </w:sdt>
          <w:r>
            <w:rPr>
              <w:rFonts w:hint="eastAsia"/>
            </w:rPr>
            <w:t>S</w:t>
          </w:r>
          <w:r>
            <w:rPr>
              <w:rFonts w:hint="eastAsia"/>
              <w:lang w:val="en-US" w:eastAsia="zh-CN"/>
            </w:rPr>
            <w:t>9</w:t>
          </w:r>
        </w:p>
        <w:p>
          <w:pPr>
            <w:pStyle w:val="14"/>
            <w:tabs>
              <w:tab w:val="right" w:leader="dot" w:pos="8306"/>
            </w:tabs>
            <w:spacing w:before="156" w:beforeLines="50" w:after="156" w:afterLines="50" w:line="360" w:lineRule="auto"/>
            <w:jc w:val="center"/>
          </w:pPr>
          <w:r>
            <w:rPr>
              <w:rStyle w:val="10"/>
              <w:rFonts w:hint="eastAsia" w:eastAsia="宋体"/>
              <w:color w:val="262626" w:themeColor="text1" w:themeTint="D9"/>
              <w:sz w:val="18"/>
              <w:szCs w:val="18"/>
              <w14:textFill>
                <w14:solidFill>
                  <w14:schemeClr w14:val="tx1">
                    <w14:lumMod w14:val="85000"/>
                    <w14:lumOff w14:val="15000"/>
                  </w14:schemeClr>
                </w14:solidFill>
              </w14:textFill>
            </w:rPr>
            <w:t xml:space="preserve">       C2</w:t>
          </w:r>
          <w:r>
            <w:rPr>
              <w:rStyle w:val="10"/>
              <w:rFonts w:eastAsia="宋体"/>
              <w:color w:val="262626" w:themeColor="text1" w:themeTint="D9"/>
              <w:sz w:val="18"/>
              <w:szCs w:val="18"/>
              <w14:textFill>
                <w14:solidFill>
                  <w14:schemeClr w14:val="tx1">
                    <w14:lumMod w14:val="85000"/>
                    <w14:lumOff w14:val="15000"/>
                  </w14:schemeClr>
                </w14:solidFill>
              </w14:textFill>
            </w:rPr>
            <w:t xml:space="preserve">. </w:t>
          </w:r>
          <w:r>
            <w:rPr>
              <w:rStyle w:val="10"/>
              <w:rFonts w:hint="eastAsia" w:eastAsia="宋体"/>
              <w:color w:val="auto"/>
              <w:sz w:val="18"/>
              <w:szCs w:val="18"/>
            </w:rPr>
            <w:t xml:space="preserve">The </w:t>
          </w:r>
          <w:r>
            <w:rPr>
              <w:rStyle w:val="10"/>
              <w:color w:val="262626" w:themeColor="text1" w:themeTint="D9"/>
              <w:sz w:val="18"/>
              <w:szCs w:val="18"/>
              <w14:textFill>
                <w14:solidFill>
                  <w14:schemeClr w14:val="tx1">
                    <w14:lumMod w14:val="85000"/>
                    <w14:lumOff w14:val="15000"/>
                  </w14:schemeClr>
                </w14:solidFill>
              </w14:textFill>
            </w:rPr>
            <w:t>functional analysis</w:t>
          </w:r>
          <w:r>
            <w:rPr>
              <w:rStyle w:val="10"/>
              <w:rFonts w:hint="eastAsia" w:eastAsia="宋体"/>
              <w:color w:val="262626" w:themeColor="text1" w:themeTint="D9"/>
              <w:sz w:val="18"/>
              <w:szCs w:val="18"/>
              <w14:textFill>
                <w14:solidFill>
                  <w14:schemeClr w14:val="tx1">
                    <w14:lumMod w14:val="85000"/>
                    <w14:lumOff w14:val="15000"/>
                  </w14:schemeClr>
                </w14:solidFill>
              </w14:textFill>
            </w:rPr>
            <w:t xml:space="preserve"> for COAD</w:t>
          </w:r>
          <w:r>
            <w:rPr>
              <w:rStyle w:val="10"/>
              <w:rFonts w:eastAsia="宋体"/>
              <w:color w:val="auto"/>
              <w:sz w:val="18"/>
              <w:szCs w:val="18"/>
            </w:rPr>
            <w:tab/>
          </w:r>
          <w:r>
            <w:rPr>
              <w:rFonts w:hint="eastAsia"/>
            </w:rPr>
            <w:t>S12</w:t>
          </w:r>
        </w:p>
        <w:p>
          <w:pPr>
            <w:pStyle w:val="14"/>
            <w:tabs>
              <w:tab w:val="right" w:leader="dot" w:pos="8306"/>
            </w:tabs>
            <w:spacing w:before="156" w:beforeLines="50" w:after="156" w:afterLines="50" w:line="360" w:lineRule="auto"/>
            <w:ind w:firstLine="540" w:firstLineChars="300"/>
            <w:jc w:val="center"/>
          </w:pPr>
          <w:r>
            <w:rPr>
              <w:rStyle w:val="10"/>
              <w:rFonts w:hint="eastAsia" w:eastAsia="宋体"/>
              <w:color w:val="262626" w:themeColor="text1" w:themeTint="D9"/>
              <w:sz w:val="18"/>
              <w:szCs w:val="18"/>
              <w14:textFill>
                <w14:solidFill>
                  <w14:schemeClr w14:val="tx1">
                    <w14:lumMod w14:val="85000"/>
                    <w14:lumOff w14:val="15000"/>
                  </w14:schemeClr>
                </w14:solidFill>
              </w14:textFill>
            </w:rPr>
            <w:t xml:space="preserve"> C3</w:t>
          </w:r>
          <w:r>
            <w:rPr>
              <w:rStyle w:val="10"/>
              <w:rFonts w:eastAsia="宋体"/>
              <w:color w:val="262626" w:themeColor="text1" w:themeTint="D9"/>
              <w:sz w:val="18"/>
              <w:szCs w:val="18"/>
              <w14:textFill>
                <w14:solidFill>
                  <w14:schemeClr w14:val="tx1">
                    <w14:lumMod w14:val="85000"/>
                    <w14:lumOff w14:val="15000"/>
                  </w14:schemeClr>
                </w14:solidFill>
              </w14:textFill>
            </w:rPr>
            <w:t xml:space="preserve">. </w:t>
          </w:r>
          <w:r>
            <w:rPr>
              <w:rFonts w:ascii="Arial" w:hAnsi="Arial" w:cs="Arial"/>
              <w:sz w:val="18"/>
              <w:szCs w:val="18"/>
            </w:rPr>
            <w:t xml:space="preserve">The application of </w:t>
          </w:r>
          <w:r>
            <w:rPr>
              <w:rFonts w:hint="eastAsia" w:ascii="Arial" w:hAnsi="Arial" w:cs="Arial"/>
              <w:sz w:val="18"/>
              <w:szCs w:val="18"/>
            </w:rPr>
            <w:t>sKLD</w:t>
          </w:r>
          <w:r>
            <w:rPr>
              <w:rFonts w:ascii="Arial" w:hAnsi="Arial" w:cs="Arial"/>
              <w:sz w:val="18"/>
              <w:szCs w:val="18"/>
            </w:rPr>
            <w:t xml:space="preserve"> in influenza infection dataset</w:t>
          </w:r>
          <w:r>
            <w:rPr>
              <w:rStyle w:val="10"/>
              <w:rFonts w:eastAsia="宋体"/>
              <w:color w:val="auto"/>
              <w:sz w:val="18"/>
              <w:szCs w:val="18"/>
            </w:rPr>
            <w:tab/>
          </w:r>
          <w:r>
            <w:rPr>
              <w:rFonts w:hint="eastAsia"/>
            </w:rPr>
            <w:t>S14</w:t>
          </w:r>
        </w:p>
        <w:p>
          <w:pPr>
            <w:pStyle w:val="14"/>
            <w:tabs>
              <w:tab w:val="right" w:leader="dot" w:pos="8306"/>
            </w:tabs>
            <w:spacing w:before="156" w:beforeLines="50" w:after="156" w:afterLines="50" w:line="360" w:lineRule="auto"/>
            <w:rPr>
              <w:rFonts w:eastAsia="宋体"/>
            </w:rPr>
          </w:pPr>
          <w:r>
            <w:rPr>
              <w:rFonts w:hint="eastAsia"/>
            </w:rPr>
            <w:t xml:space="preserve">    </w:t>
          </w:r>
        </w:p>
      </w:sdtContent>
    </w:sdt>
    <w:p>
      <w:pPr>
        <w:spacing w:before="156" w:beforeLines="50" w:after="156" w:afterLines="50" w:line="360" w:lineRule="auto"/>
        <w:rPr>
          <w:rStyle w:val="10"/>
          <w:rFonts w:eastAsia="宋体"/>
          <w:color w:val="262626" w:themeColor="text1" w:themeTint="D9"/>
          <w:sz w:val="18"/>
          <w:szCs w:val="18"/>
          <w14:textFill>
            <w14:solidFill>
              <w14:schemeClr w14:val="tx1">
                <w14:lumMod w14:val="85000"/>
                <w14:lumOff w14:val="15000"/>
              </w14:schemeClr>
            </w14:solidFill>
          </w14:textFill>
        </w:rPr>
      </w:pPr>
    </w:p>
    <w:p>
      <w:pPr>
        <w:spacing w:before="156" w:beforeLines="50" w:after="156" w:afterLines="50" w:line="360" w:lineRule="auto"/>
        <w:jc w:val="center"/>
        <w:rPr>
          <w:rFonts w:ascii="Times New Roman" w:hAnsi="Times New Roman" w:cs="Times New Roman"/>
          <w:b/>
          <w:bCs/>
          <w:sz w:val="32"/>
          <w:szCs w:val="32"/>
        </w:rPr>
      </w:pPr>
    </w:p>
    <w:p>
      <w:pPr>
        <w:spacing w:before="156" w:beforeLines="50" w:after="156" w:afterLines="50" w:line="360" w:lineRule="auto"/>
        <w:jc w:val="center"/>
        <w:rPr>
          <w:rFonts w:ascii="Times New Roman" w:hAnsi="Times New Roman" w:cs="Times New Roman"/>
          <w:b/>
          <w:bCs/>
          <w:sz w:val="32"/>
          <w:szCs w:val="32"/>
        </w:rPr>
      </w:pPr>
    </w:p>
    <w:p>
      <w:pPr>
        <w:spacing w:before="156" w:beforeLines="50" w:after="156" w:afterLines="50" w:line="360" w:lineRule="auto"/>
        <w:jc w:val="center"/>
        <w:rPr>
          <w:rFonts w:ascii="Times New Roman" w:hAnsi="Times New Roman" w:cs="Times New Roman"/>
          <w:b/>
          <w:bCs/>
          <w:sz w:val="32"/>
          <w:szCs w:val="32"/>
        </w:rPr>
      </w:pPr>
    </w:p>
    <w:p>
      <w:pPr>
        <w:spacing w:before="156" w:beforeLines="50" w:after="156" w:afterLines="50" w:line="360" w:lineRule="auto"/>
        <w:rPr>
          <w:rFonts w:ascii="Times New Roman" w:hAnsi="Times New Roman" w:cs="Times New Roman"/>
          <w:b/>
          <w:bCs/>
          <w:sz w:val="32"/>
          <w:szCs w:val="32"/>
        </w:rPr>
      </w:pPr>
    </w:p>
    <w:p>
      <w:pPr>
        <w:snapToGrid w:val="0"/>
        <w:spacing w:before="156" w:beforeLines="50" w:after="156" w:afterLines="50" w:line="360" w:lineRule="auto"/>
        <w:rPr>
          <w:rFonts w:ascii="Times New Roman" w:hAnsi="Times New Roman" w:cs="Times New Roman"/>
          <w:b/>
          <w:bCs/>
          <w:sz w:val="32"/>
          <w:szCs w:val="32"/>
        </w:rPr>
      </w:pPr>
    </w:p>
    <w:p>
      <w:pPr>
        <w:numPr>
          <w:ilvl w:val="0"/>
          <w:numId w:val="1"/>
        </w:numPr>
        <w:spacing w:before="156" w:beforeLines="50" w:after="156" w:afterLines="50" w:line="360" w:lineRule="auto"/>
        <w:rPr>
          <w:rStyle w:val="11"/>
          <w:rFonts w:ascii="Arial" w:hAnsi="Arial" w:cs="Calibri"/>
          <w:b/>
          <w:bCs/>
          <w:color w:val="262626" w:themeColor="text1" w:themeTint="D9"/>
          <w:sz w:val="24"/>
          <w14:textFill>
            <w14:solidFill>
              <w14:schemeClr w14:val="tx1">
                <w14:lumMod w14:val="85000"/>
                <w14:lumOff w14:val="15000"/>
              </w14:schemeClr>
            </w14:solidFill>
          </w14:textFill>
        </w:rPr>
      </w:pPr>
      <w:r>
        <w:rPr>
          <w:rStyle w:val="11"/>
          <w:rFonts w:ascii="Arial" w:hAnsi="Arial" w:cs="Arial"/>
          <w:b/>
          <w:bCs/>
          <w:color w:val="262626" w:themeColor="text1" w:themeTint="D9"/>
          <w:sz w:val="24"/>
          <w14:textFill>
            <w14:solidFill>
              <w14:schemeClr w14:val="tx1">
                <w14:lumMod w14:val="85000"/>
                <w14:lumOff w14:val="15000"/>
              </w14:schemeClr>
            </w14:solidFill>
          </w14:textFill>
        </w:rPr>
        <w:t xml:space="preserve">The detailed dynamical system theory about </w:t>
      </w:r>
      <w:r>
        <w:rPr>
          <w:rFonts w:ascii="Arial" w:hAnsi="Arial" w:cs="Arial"/>
          <w:b/>
          <w:bCs/>
          <w:sz w:val="24"/>
        </w:rPr>
        <w:t>numerical simulation</w:t>
      </w:r>
    </w:p>
    <w:p>
      <w:pPr>
        <w:snapToGrid w:val="0"/>
        <w:spacing w:before="156" w:beforeLines="50" w:after="156" w:afterLines="50" w:line="360" w:lineRule="auto"/>
        <w:rPr>
          <w:rFonts w:ascii="Times New Roman" w:hAnsi="Times New Roman" w:cs="Times New Roman"/>
          <w:sz w:val="24"/>
        </w:rPr>
      </w:pPr>
      <w:r>
        <w:rPr>
          <w:rFonts w:ascii="Arial" w:hAnsi="Arial" w:cs="Arial"/>
          <w:sz w:val="20"/>
          <w:szCs w:val="20"/>
        </w:rPr>
        <w:t>We used a regulatory network with 8 genes (see Fig. 3A in the main text) to conduct a numerical simulation for detecting the pre-disease state using sKLD. These types of gene molecular regulatory networks are often used to study various biological processes including transcription, translation, diffusion, and translocation processes that affect gene regulatory activitie</w:t>
      </w:r>
      <w:r>
        <w:rPr>
          <w:rFonts w:hint="eastAsia" w:ascii="Arial" w:hAnsi="Arial" w:cs="Arial"/>
          <w:sz w:val="20"/>
          <w:szCs w:val="20"/>
        </w:rPr>
        <w:t>s</w:t>
      </w:r>
      <w:r>
        <w:rPr>
          <w:rFonts w:ascii="Arial" w:hAnsi="Arial" w:cs="Arial"/>
          <w:sz w:val="20"/>
          <w:szCs w:val="20"/>
        </w:rPr>
        <w:t xml:space="preserve"> (1-5). The following 8 differential equations represent the gene regulation of 8 genes in a network. In network, gene regulation is represented in a Michaelis-Menten form with the degradation rates, which are linearly proportional to the concentrations of the corresponding genes.</w:t>
      </w:r>
    </w:p>
    <w:p>
      <w:pPr>
        <w:spacing w:before="156" w:beforeLines="50" w:after="156" w:afterLines="50" w:line="360" w:lineRule="auto"/>
        <w:rPr>
          <w:rFonts w:ascii="Times New Roman" w:hAnsi="Times New Roman" w:cs="Times New Roman"/>
          <w:sz w:val="24"/>
        </w:rPr>
      </w:pPr>
      <w:r>
        <w:rPr>
          <w:position w:val="-316"/>
        </w:rPr>
        <w:object>
          <v:shape id="_x0000_i1025" o:spt="75" type="#_x0000_t75" style="height:322.2pt;width:342pt;" o:ole="t" filled="f" o:preferrelative="t" stroked="f" coordsize="21600,21600">
            <v:path/>
            <v:fill on="f" focussize="0,0"/>
            <v:stroke on="f" joinstyle="miter"/>
            <v:imagedata r:id="rId6" o:title=""/>
            <o:lock v:ext="edit" aspectratio="t"/>
            <w10:wrap type="none"/>
            <w10:anchorlock/>
          </v:shape>
          <o:OLEObject Type="Embed" ProgID="Equation.DSMT4" ShapeID="_x0000_i1025" DrawAspect="Content" ObjectID="_1468075725" r:id="rId5">
            <o:LockedField>false</o:LockedField>
          </o:OLEObject>
        </w:object>
      </w:r>
      <w:r>
        <w:rPr>
          <w:rFonts w:hint="eastAsia"/>
          <w:position w:val="-420"/>
        </w:rPr>
        <w:t xml:space="preserve">         </w:t>
      </w:r>
      <w:r>
        <w:rPr>
          <w:rFonts w:hint="eastAsia"/>
          <w:position w:val="-14"/>
        </w:rPr>
        <w:object>
          <v:shape id="_x0000_i1026" o:spt="75" type="#_x0000_t75" style="height:19.8pt;width:25.2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7">
            <o:LockedField>false</o:LockedField>
          </o:OLEObject>
        </w:object>
      </w:r>
    </w:p>
    <w:p>
      <w:pPr>
        <w:snapToGrid w:val="0"/>
        <w:spacing w:before="156" w:beforeLines="50" w:after="156" w:afterLines="50" w:line="360" w:lineRule="auto"/>
        <w:rPr>
          <w:rFonts w:ascii="Times New Roman" w:hAnsi="Times New Roman" w:cs="Times New Roman"/>
          <w:sz w:val="24"/>
        </w:rPr>
      </w:pPr>
      <w:r>
        <w:rPr>
          <w:rFonts w:ascii="Arial" w:hAnsi="Arial" w:cs="Arial"/>
          <w:sz w:val="20"/>
          <w:szCs w:val="20"/>
        </w:rPr>
        <w:t xml:space="preserve">where </w:t>
      </w:r>
      <w:r>
        <w:rPr>
          <w:rFonts w:ascii="Arial" w:hAnsi="Arial" w:cs="Arial"/>
          <w:position w:val="-6"/>
          <w:sz w:val="20"/>
          <w:szCs w:val="20"/>
        </w:rPr>
        <w:object>
          <v:shape id="_x0000_i1027" o:spt="75" type="#_x0000_t75" style="height:10.8pt;width:9pt;" o:ole="t" filled="f" o:preferrelative="t" stroked="f" coordsize="21600,21600">
            <v:path/>
            <v:fill on="f" focussize="0,0"/>
            <v:stroke on="f" joinstyle="miter"/>
            <v:imagedata r:id="rId10" o:title=""/>
            <o:lock v:ext="edit" aspectratio="t"/>
            <w10:wrap type="none"/>
            <w10:anchorlock/>
          </v:shape>
          <o:OLEObject Type="Embed" ProgID="Equation.DSMT4" ShapeID="_x0000_i1027" DrawAspect="Content" ObjectID="_1468075727" r:id="rId9">
            <o:LockedField>false</o:LockedField>
          </o:OLEObject>
        </w:object>
      </w:r>
      <w:r>
        <w:rPr>
          <w:rFonts w:ascii="Arial" w:hAnsi="Arial" w:cs="Arial"/>
          <w:sz w:val="20"/>
          <w:szCs w:val="20"/>
        </w:rPr>
        <w:t xml:space="preserve"> is a scalar control parameter and </w:t>
      </w:r>
      <w:r>
        <w:rPr>
          <w:rFonts w:ascii="Arial" w:hAnsi="Arial" w:cs="Arial"/>
          <w:position w:val="-12"/>
          <w:sz w:val="20"/>
          <w:szCs w:val="20"/>
        </w:rPr>
        <w:object>
          <v:shape id="_x0000_i1028" o:spt="75" type="#_x0000_t75" style="height:18pt;width:25.2pt;" o:ole="t" filled="f" o:preferrelative="t" stroked="f" coordsize="21600,21600">
            <v:path/>
            <v:fill on="f" focussize="0,0"/>
            <v:stroke on="f" joinstyle="miter"/>
            <v:imagedata r:id="rId12" o:title=""/>
            <o:lock v:ext="edit" aspectratio="t"/>
            <w10:wrap type="none"/>
            <w10:anchorlock/>
          </v:shape>
          <o:OLEObject Type="Embed" ProgID="Equation.DSMT4" ShapeID="_x0000_i1028" DrawAspect="Content" ObjectID="_1468075728" r:id="rId11">
            <o:LockedField>false</o:LockedField>
          </o:OLEObject>
        </w:object>
      </w:r>
      <w:r>
        <w:rPr>
          <w:rFonts w:ascii="Arial" w:hAnsi="Arial" w:cs="Arial"/>
          <w:sz w:val="20"/>
          <w:szCs w:val="20"/>
        </w:rPr>
        <w:t>(</w:t>
      </w:r>
      <w:r>
        <w:rPr>
          <w:rFonts w:ascii="Arial" w:hAnsi="Arial" w:cs="Arial"/>
          <w:i/>
          <w:iCs/>
          <w:sz w:val="20"/>
          <w:szCs w:val="20"/>
        </w:rPr>
        <w:t>i</w:t>
      </w:r>
      <w:r>
        <w:rPr>
          <w:rFonts w:ascii="Arial" w:hAnsi="Arial" w:cs="Arial"/>
          <w:sz w:val="20"/>
          <w:szCs w:val="20"/>
        </w:rPr>
        <w:t xml:space="preserve"> = 1, 2, ..., 8) are Gaussian noises with zero means and covariances </w:t>
      </w:r>
      <w:r>
        <w:rPr>
          <w:rFonts w:ascii="Arial" w:hAnsi="Arial" w:cs="Arial"/>
          <w:position w:val="-14"/>
          <w:sz w:val="20"/>
          <w:szCs w:val="20"/>
        </w:rPr>
        <w:object>
          <v:shape id="_x0000_i1029" o:spt="75" type="#_x0000_t75" style="height:19.2pt;width:79.8pt;" o:ole="t" filled="f" o:preferrelative="t" stroked="f" coordsize="21600,21600">
            <v:path/>
            <v:fill on="f" focussize="0,0"/>
            <v:stroke on="f" joinstyle="miter"/>
            <v:imagedata r:id="rId14" o:title=""/>
            <o:lock v:ext="edit" aspectratio="t"/>
            <w10:wrap type="none"/>
            <w10:anchorlock/>
          </v:shape>
          <o:OLEObject Type="Embed" ProgID="Equation.DSMT4" ShapeID="_x0000_i1029" DrawAspect="Content" ObjectID="_1468075729" r:id="rId13">
            <o:LockedField>false</o:LockedField>
          </o:OLEObject>
        </w:object>
      </w:r>
      <w:r>
        <w:rPr>
          <w:rFonts w:ascii="Arial" w:hAnsi="Arial" w:cs="Arial"/>
          <w:sz w:val="20"/>
          <w:szCs w:val="20"/>
        </w:rPr>
        <w:t xml:space="preserve">. </w:t>
      </w:r>
      <w:r>
        <w:rPr>
          <w:rFonts w:ascii="Arial" w:hAnsi="Arial" w:cs="Arial"/>
          <w:position w:val="-12"/>
          <w:sz w:val="20"/>
          <w:szCs w:val="20"/>
        </w:rPr>
        <w:object>
          <v:shape id="_x0000_i1030" o:spt="75" type="#_x0000_t75" style="height:18pt;width:25.2pt;" o:ole="t" filled="f" o:preferrelative="t" stroked="f" coordsize="21600,21600">
            <v:path/>
            <v:fill on="f" focussize="0,0"/>
            <v:stroke on="f" joinstyle="miter"/>
            <v:imagedata r:id="rId16" o:title=""/>
            <o:lock v:ext="edit" aspectratio="t"/>
            <w10:wrap type="none"/>
            <w10:anchorlock/>
          </v:shape>
          <o:OLEObject Type="Embed" ProgID="Equation.DSMT4" ShapeID="_x0000_i1030" DrawAspect="Content" ObjectID="_1468075730" r:id="rId15">
            <o:LockedField>false</o:LockedField>
          </o:OLEObject>
        </w:object>
      </w:r>
      <w:r>
        <w:rPr>
          <w:rFonts w:ascii="Arial" w:hAnsi="Arial" w:cs="Arial"/>
          <w:sz w:val="20"/>
          <w:szCs w:val="20"/>
        </w:rPr>
        <w:t>(</w:t>
      </w:r>
      <w:r>
        <w:rPr>
          <w:rFonts w:ascii="Arial" w:hAnsi="Arial" w:cs="Arial"/>
          <w:i/>
          <w:iCs/>
          <w:sz w:val="20"/>
          <w:szCs w:val="20"/>
        </w:rPr>
        <w:t>i</w:t>
      </w:r>
      <w:r>
        <w:rPr>
          <w:rFonts w:ascii="Arial" w:hAnsi="Arial" w:cs="Arial"/>
          <w:sz w:val="20"/>
          <w:szCs w:val="20"/>
        </w:rPr>
        <w:t xml:space="preserve"> = 1, 2, ..., 8) represent the concentrations of mRNA-i. In Eq.(S1), there is the degradation rates of mRNAs </w:t>
      </w:r>
      <w:r>
        <w:rPr>
          <w:rFonts w:ascii="Arial" w:hAnsi="Arial" w:cs="Arial"/>
          <w:position w:val="-24"/>
          <w:sz w:val="20"/>
          <w:szCs w:val="20"/>
        </w:rPr>
        <w:object>
          <v:shape id="_x0000_i1031" o:spt="75" type="#_x0000_t75" style="height:31.2pt;width:219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17">
            <o:LockedField>false</o:LockedField>
          </o:OLEObject>
        </w:object>
      </w:r>
      <w:r>
        <w:rPr>
          <w:rFonts w:ascii="Arial" w:hAnsi="Arial" w:cs="Arial"/>
          <w:sz w:val="20"/>
          <w:szCs w:val="20"/>
        </w:rPr>
        <w:t xml:space="preserve">The stable equilibrium point of the differential equations Eq.(S1) is </w:t>
      </w:r>
      <w:r>
        <w:rPr>
          <w:rFonts w:ascii="Arial" w:hAnsi="Arial" w:cs="Arial"/>
          <w:position w:val="-12"/>
          <w:sz w:val="20"/>
          <w:szCs w:val="20"/>
        </w:rPr>
        <w:object>
          <v:shape id="_x0000_i1032" o:spt="75" type="#_x0000_t75" style="height:19.8pt;width:172.2pt;" o:ole="t" filled="f" o:preferrelative="t" stroked="f" coordsize="21600,21600">
            <v:path/>
            <v:fill on="f" focussize="0,0"/>
            <v:stroke on="f" joinstyle="miter"/>
            <v:imagedata r:id="rId20" o:title=""/>
            <o:lock v:ext="edit" aspectratio="t"/>
            <w10:wrap type="none"/>
            <w10:anchorlock/>
          </v:shape>
          <o:OLEObject Type="Embed" ProgID="Equation.DSMT4" ShapeID="_x0000_i1032" DrawAspect="Content" ObjectID="_1468075732" r:id="rId19">
            <o:LockedField>false</o:LockedField>
          </o:OLEObject>
        </w:object>
      </w:r>
      <w:r>
        <w:rPr>
          <w:rFonts w:ascii="Arial" w:hAnsi="Arial" w:cs="Arial"/>
          <w:sz w:val="20"/>
          <w:szCs w:val="20"/>
        </w:rPr>
        <w:t xml:space="preserve">. The differential equations Eq.(S1) can be transformed into the difference equations </w:t>
      </w:r>
      <w:r>
        <w:rPr>
          <w:rFonts w:ascii="Arial" w:hAnsi="Arial" w:cs="Arial"/>
          <w:position w:val="-10"/>
          <w:sz w:val="20"/>
          <w:szCs w:val="20"/>
        </w:rPr>
        <w:object>
          <v:shape id="_x0000_i1033" o:spt="75" type="#_x0000_t75" style="height:16.2pt;width:105pt;" o:ole="t" filled="f" o:preferrelative="t" stroked="f" coordsize="21600,21600">
            <v:path/>
            <v:fill on="f" focussize="0,0"/>
            <v:stroke on="f" joinstyle="miter"/>
            <v:imagedata r:id="rId22" o:title=""/>
            <o:lock v:ext="edit" aspectratio="t"/>
            <w10:wrap type="none"/>
            <w10:anchorlock/>
          </v:shape>
          <o:OLEObject Type="Embed" ProgID="Equation.DSMT4" ShapeID="_x0000_i1033" DrawAspect="Content" ObjectID="_1468075733" r:id="rId21">
            <o:LockedField>false</o:LockedField>
          </o:OLEObject>
        </w:object>
      </w:r>
      <w:r>
        <w:rPr>
          <w:rFonts w:ascii="Arial" w:hAnsi="Arial" w:cs="Arial"/>
          <w:sz w:val="20"/>
          <w:szCs w:val="20"/>
        </w:rPr>
        <w:t xml:space="preserve">using the Euler scheme (6) with a small time interval </w:t>
      </w:r>
      <w:r>
        <w:rPr>
          <w:rFonts w:ascii="Arial" w:hAnsi="Arial" w:cs="Arial"/>
          <w:position w:val="-6"/>
          <w:sz w:val="20"/>
          <w:szCs w:val="20"/>
        </w:rPr>
        <w:object>
          <v:shape id="_x0000_i1034" o:spt="75" type="#_x0000_t75" style="height:13.8pt;width:15pt;" o:ole="t" filled="f" o:preferrelative="t" stroked="f" coordsize="21600,21600">
            <v:path/>
            <v:fill on="f" focussize="0,0"/>
            <v:stroke on="f" joinstyle="miter"/>
            <v:imagedata r:id="rId24" o:title=""/>
            <o:lock v:ext="edit" aspectratio="t"/>
            <w10:wrap type="none"/>
            <w10:anchorlock/>
          </v:shape>
          <o:OLEObject Type="Embed" ProgID="Equation.DSMT4" ShapeID="_x0000_i1034" DrawAspect="Content" ObjectID="_1468075734" r:id="rId23">
            <o:LockedField>false</o:LockedField>
          </o:OLEObject>
        </w:object>
      </w:r>
      <w:r>
        <w:rPr>
          <w:rFonts w:ascii="Arial" w:hAnsi="Arial" w:cs="Arial"/>
          <w:sz w:val="20"/>
          <w:szCs w:val="20"/>
        </w:rPr>
        <w:t>. The result is as follows:</w:t>
      </w:r>
    </w:p>
    <w:p>
      <w:pPr>
        <w:spacing w:before="156" w:beforeLines="50" w:after="156" w:afterLines="50" w:line="360" w:lineRule="auto"/>
        <w:rPr>
          <w:rFonts w:ascii="Times New Roman" w:hAnsi="Times New Roman" w:cs="Times New Roman"/>
          <w:sz w:val="24"/>
        </w:rPr>
      </w:pPr>
      <w:r>
        <w:rPr>
          <w:position w:val="-346"/>
        </w:rPr>
        <w:object>
          <v:shape id="_x0000_i1035" o:spt="75" type="#_x0000_t75" style="height:293.4pt;width:342.6pt;" o:ole="t" filled="f" o:preferrelative="t" stroked="f" coordsize="21600,21600">
            <v:path/>
            <v:fill on="f" focussize="0,0"/>
            <v:stroke on="f" joinstyle="miter"/>
            <v:imagedata r:id="rId26" o:title=""/>
            <o:lock v:ext="edit" aspectratio="t"/>
            <w10:wrap type="none"/>
            <w10:anchorlock/>
          </v:shape>
          <o:OLEObject Type="Embed" ProgID="Equation.DSMT4" ShapeID="_x0000_i1035" DrawAspect="Content" ObjectID="_1468075735" r:id="rId25">
            <o:LockedField>false</o:LockedField>
          </o:OLEObject>
        </w:object>
      </w:r>
      <w:r>
        <w:rPr>
          <w:rFonts w:hint="eastAsia"/>
          <w:position w:val="-346"/>
        </w:rPr>
        <w:t xml:space="preserve">        </w:t>
      </w:r>
      <w:r>
        <w:rPr>
          <w:rFonts w:hint="eastAsia"/>
          <w:position w:val="-14"/>
        </w:rPr>
        <w:object>
          <v:shape id="_x0000_i1036" o:spt="75" type="#_x0000_t75" style="height:21pt;width:27.6pt;" o:ole="t" filled="f" o:preferrelative="t" stroked="f" coordsize="21600,21600">
            <v:path/>
            <v:fill on="f" focussize="0,0"/>
            <v:stroke on="f" joinstyle="miter"/>
            <v:imagedata r:id="rId28" o:title=""/>
            <o:lock v:ext="edit" aspectratio="t"/>
            <w10:wrap type="none"/>
            <w10:anchorlock/>
          </v:shape>
          <o:OLEObject Type="Embed" ProgID="Equation.DSMT4" ShapeID="_x0000_i1036" DrawAspect="Content" ObjectID="_1468075736" r:id="rId27">
            <o:LockedField>false</o:LockedField>
          </o:OLEObject>
        </w:object>
      </w:r>
    </w:p>
    <w:p>
      <w:pPr>
        <w:snapToGrid w:val="0"/>
        <w:spacing w:before="156" w:beforeLines="50" w:after="156" w:afterLines="50" w:line="360" w:lineRule="auto"/>
        <w:rPr>
          <w:rFonts w:ascii="Arial" w:hAnsi="Arial" w:cs="Arial"/>
          <w:sz w:val="20"/>
          <w:szCs w:val="20"/>
        </w:rPr>
      </w:pPr>
      <w:r>
        <w:rPr>
          <w:rFonts w:ascii="Arial" w:hAnsi="Arial" w:cs="Arial"/>
          <w:sz w:val="20"/>
          <w:szCs w:val="20"/>
        </w:rPr>
        <w:t xml:space="preserve">It is easy to note that </w:t>
      </w:r>
      <w:r>
        <w:rPr>
          <w:rFonts w:ascii="Arial" w:hAnsi="Arial" w:cs="Arial"/>
          <w:position w:val="-10"/>
          <w:sz w:val="20"/>
          <w:szCs w:val="20"/>
        </w:rPr>
        <w:object>
          <v:shape id="_x0000_i1037" o:spt="75" type="#_x0000_t75" style="height:16.2pt;width:28.2pt;" o:ole="t" filled="f" o:preferrelative="t" stroked="f" coordsize="21600,21600">
            <v:path/>
            <v:fill on="f" focussize="0,0"/>
            <v:stroke on="f" joinstyle="miter"/>
            <v:imagedata r:id="rId30" o:title=""/>
            <o:lock v:ext="edit" aspectratio="t"/>
            <w10:wrap type="none"/>
            <w10:anchorlock/>
          </v:shape>
          <o:OLEObject Type="Embed" ProgID="Equation.DSMT4" ShapeID="_x0000_i1037" DrawAspect="Content" ObjectID="_1468075737" r:id="rId29">
            <o:LockedField>false</o:LockedField>
          </o:OLEObject>
        </w:object>
      </w:r>
      <w:r>
        <w:rPr>
          <w:rFonts w:ascii="Arial" w:hAnsi="Arial" w:cs="Arial"/>
          <w:sz w:val="20"/>
          <w:szCs w:val="20"/>
        </w:rPr>
        <w:t xml:space="preserve"> is the vector of </w:t>
      </w:r>
      <w:r>
        <w:rPr>
          <w:rFonts w:ascii="Arial" w:hAnsi="Arial" w:cs="Arial"/>
          <w:position w:val="-6"/>
          <w:sz w:val="20"/>
          <w:szCs w:val="20"/>
        </w:rPr>
        <w:object>
          <v:shape id="_x0000_i1038" o:spt="75" type="#_x0000_t75" style="height:15pt;width:24.6pt;" o:ole="t" filled="f" o:preferrelative="t" stroked="f" coordsize="21600,21600">
            <v:path/>
            <v:fill on="f" focussize="0,0"/>
            <v:stroke on="f" joinstyle="miter"/>
            <v:imagedata r:id="rId32" o:title=""/>
            <o:lock v:ext="edit" aspectratio="t"/>
            <w10:wrap type="none"/>
            <w10:anchorlock/>
          </v:shape>
          <o:OLEObject Type="Embed" ProgID="Equation.DSMT4" ShapeID="_x0000_i1038" DrawAspect="Content" ObjectID="_1468075738" r:id="rId31">
            <o:LockedField>false</o:LockedField>
          </o:OLEObject>
        </w:object>
      </w:r>
      <w:r>
        <w:rPr>
          <w:rFonts w:ascii="Arial" w:hAnsi="Arial" w:cs="Arial"/>
          <w:sz w:val="20"/>
          <w:szCs w:val="20"/>
        </w:rPr>
        <w:t xml:space="preserve"> at the time instant </w:t>
      </w:r>
      <w:r>
        <w:rPr>
          <w:rFonts w:ascii="Arial" w:hAnsi="Arial" w:cs="Arial"/>
          <w:position w:val="-6"/>
          <w:sz w:val="20"/>
          <w:szCs w:val="20"/>
        </w:rPr>
        <w:object>
          <v:shape id="_x0000_i1039" o:spt="75" type="#_x0000_t75" style="height:13.8pt;width:21pt;" o:ole="t" filled="f" o:preferrelative="t" stroked="f" coordsize="21600,21600">
            <v:path/>
            <v:fill on="f" focussize="0,0"/>
            <v:stroke on="f" joinstyle="miter"/>
            <v:imagedata r:id="rId34" o:title=""/>
            <o:lock v:ext="edit" aspectratio="t"/>
            <w10:wrap type="none"/>
            <w10:anchorlock/>
          </v:shape>
          <o:OLEObject Type="Embed" ProgID="Equation.DSMT4" ShapeID="_x0000_i1039" DrawAspect="Content" ObjectID="_1468075739" r:id="rId33">
            <o:LockedField>false</o:LockedField>
          </o:OLEObject>
        </w:object>
      </w:r>
      <w:r>
        <w:rPr>
          <w:rFonts w:ascii="Arial" w:hAnsi="Arial" w:cs="Arial"/>
          <w:sz w:val="20"/>
          <w:szCs w:val="20"/>
        </w:rPr>
        <w:t xml:space="preserve">. The Jacobian matrix of Eq.(S2) can be defined as </w:t>
      </w:r>
      <w:r>
        <w:rPr>
          <w:rFonts w:ascii="Arial" w:hAnsi="Arial" w:cs="Arial"/>
          <w:position w:val="-30"/>
          <w:sz w:val="20"/>
          <w:szCs w:val="20"/>
        </w:rPr>
        <w:object>
          <v:shape id="_x0000_i1040" o:spt="75" type="#_x0000_t75" style="height:35.4pt;width:94.2pt;" o:ole="t" filled="f" o:preferrelative="t" stroked="f" coordsize="21600,21600">
            <v:path/>
            <v:fill on="f" focussize="0,0"/>
            <v:stroke on="f" joinstyle="miter"/>
            <v:imagedata r:id="rId36" o:title=""/>
            <o:lock v:ext="edit" aspectratio="t"/>
            <w10:wrap type="none"/>
            <w10:anchorlock/>
          </v:shape>
          <o:OLEObject Type="Embed" ProgID="Equation.DSMT4" ShapeID="_x0000_i1040" DrawAspect="Content" ObjectID="_1468075740" r:id="rId35">
            <o:LockedField>false</o:LockedField>
          </o:OLEObject>
        </w:object>
      </w:r>
      <w:r>
        <w:rPr>
          <w:rFonts w:ascii="Arial" w:hAnsi="Arial" w:cs="Arial"/>
          <w:sz w:val="20"/>
          <w:szCs w:val="20"/>
        </w:rPr>
        <w:t>, where</w:t>
      </w:r>
    </w:p>
    <w:p>
      <w:pPr>
        <w:snapToGrid w:val="0"/>
        <w:spacing w:before="156" w:beforeLines="50" w:after="156" w:afterLines="50" w:line="360" w:lineRule="auto"/>
        <w:ind w:left="1680" w:firstLine="420"/>
        <w:jc w:val="center"/>
        <w:rPr>
          <w:rFonts w:ascii="Times New Roman" w:hAnsi="Times New Roman" w:cs="Times New Roman"/>
          <w:sz w:val="24"/>
        </w:rPr>
      </w:pPr>
      <w:r>
        <w:rPr>
          <w:rFonts w:ascii="Arial" w:hAnsi="Arial" w:cs="Arial"/>
          <w:position w:val="-6"/>
          <w:sz w:val="20"/>
          <w:szCs w:val="20"/>
        </w:rPr>
        <w:object>
          <v:shape id="_x0000_i1041" o:spt="75" type="#_x0000_t75" style="height:16.2pt;width:42.6pt;" o:ole="t" filled="f" o:preferrelative="t" stroked="f" coordsize="21600,21600">
            <v:path/>
            <v:fill on="f" focussize="0,0"/>
            <v:stroke on="f" joinstyle="miter"/>
            <v:imagedata r:id="rId38" o:title=""/>
            <o:lock v:ext="edit" aspectratio="t"/>
            <w10:wrap type="none"/>
            <w10:anchorlock/>
          </v:shape>
          <o:OLEObject Type="Embed" ProgID="Equation.DSMT4" ShapeID="_x0000_i1041" DrawAspect="Content" ObjectID="_1468075741" r:id="rId37">
            <o:LockedField>false</o:LockedField>
          </o:OLEObject>
        </w:object>
      </w:r>
      <w:r>
        <w:rPr>
          <w:rFonts w:ascii="Arial" w:hAnsi="Arial" w:cs="Arial"/>
          <w:sz w:val="20"/>
          <w:szCs w:val="20"/>
        </w:rPr>
        <w:t xml:space="preserve">                                 </w:t>
      </w:r>
      <w:r>
        <w:rPr>
          <w:rFonts w:hint="eastAsia" w:ascii="Arial" w:hAnsi="Arial" w:cs="Arial"/>
          <w:sz w:val="20"/>
          <w:szCs w:val="20"/>
        </w:rPr>
        <w:t xml:space="preserve">           </w:t>
      </w:r>
      <w:r>
        <w:rPr>
          <w:rFonts w:ascii="Arial" w:hAnsi="Arial" w:cs="Arial"/>
          <w:sz w:val="20"/>
          <w:szCs w:val="20"/>
        </w:rPr>
        <w:t xml:space="preserve"> </w:t>
      </w:r>
      <w:r>
        <w:rPr>
          <w:rFonts w:ascii="Arial" w:hAnsi="Arial" w:cs="Arial"/>
          <w:position w:val="-14"/>
          <w:sz w:val="20"/>
          <w:szCs w:val="20"/>
        </w:rPr>
        <w:object>
          <v:shape id="_x0000_i1042" o:spt="75" type="#_x0000_t75" style="height:21pt;width:27.6pt;" o:ole="t" filled="f" o:preferrelative="t" stroked="f" coordsize="21600,21600">
            <v:path/>
            <v:fill on="f" focussize="0,0"/>
            <v:stroke on="f" joinstyle="miter"/>
            <v:imagedata r:id="rId40" o:title=""/>
            <o:lock v:ext="edit" aspectratio="t"/>
            <w10:wrap type="none"/>
            <w10:anchorlock/>
          </v:shape>
          <o:OLEObject Type="Embed" ProgID="Equation.DSMT4" ShapeID="_x0000_i1042" DrawAspect="Content" ObjectID="_1468075742" r:id="rId39">
            <o:LockedField>false</o:LockedField>
          </o:OLEObject>
        </w:object>
      </w:r>
    </w:p>
    <w:p>
      <w:pPr>
        <w:snapToGrid w:val="0"/>
        <w:spacing w:before="156" w:beforeLines="50" w:after="156" w:afterLines="50" w:line="360" w:lineRule="auto"/>
        <w:rPr>
          <w:rFonts w:ascii="Arial" w:hAnsi="Arial" w:cs="Arial"/>
          <w:sz w:val="20"/>
          <w:szCs w:val="20"/>
        </w:rPr>
      </w:pPr>
      <w:r>
        <w:rPr>
          <w:rFonts w:ascii="Arial" w:hAnsi="Arial" w:cs="Arial"/>
          <w:sz w:val="20"/>
          <w:szCs w:val="20"/>
        </w:rPr>
        <w:t xml:space="preserve">From Eq.(S3), by taking </w:t>
      </w:r>
      <w:r>
        <w:rPr>
          <w:rFonts w:ascii="Arial" w:hAnsi="Arial" w:cs="Arial"/>
          <w:position w:val="-6"/>
          <w:sz w:val="20"/>
          <w:szCs w:val="20"/>
        </w:rPr>
        <w:object>
          <v:shape id="_x0000_i1043" o:spt="75" type="#_x0000_t75" style="height:13.8pt;width:31.2pt;" o:ole="t" filled="f" o:preferrelative="t" stroked="f" coordsize="21600,21600">
            <v:path/>
            <v:fill on="f" focussize="0,0"/>
            <v:stroke on="f" joinstyle="miter"/>
            <v:imagedata r:id="rId42" o:title=""/>
            <o:lock v:ext="edit" aspectratio="t"/>
            <w10:wrap type="none"/>
            <w10:anchorlock/>
          </v:shape>
          <o:OLEObject Type="Embed" ProgID="Equation.DSMT4" ShapeID="_x0000_i1043" DrawAspect="Content" ObjectID="_1468075743" r:id="rId41">
            <o:LockedField>false</o:LockedField>
          </o:OLEObject>
        </w:object>
      </w:r>
      <w:r>
        <w:rPr>
          <w:rFonts w:ascii="Arial" w:hAnsi="Arial" w:cs="Arial"/>
          <w:sz w:val="20"/>
          <w:szCs w:val="20"/>
        </w:rPr>
        <w:t>, we can obtain eight distinct eigenvalues with the largest eigenvalue 0.66</w:t>
      </w:r>
      <w:r>
        <w:rPr>
          <w:rFonts w:ascii="Arial" w:hAnsi="Arial" w:cs="Arial"/>
          <w:position w:val="-14"/>
          <w:sz w:val="20"/>
          <w:szCs w:val="20"/>
        </w:rPr>
        <w:object>
          <v:shape id="_x0000_i1044" o:spt="75" type="#_x0000_t75" style="height:19.8pt;width:13.2pt;" o:ole="t" filled="f" o:preferrelative="t" stroked="f" coordsize="21600,21600">
            <v:path/>
            <v:fill on="f" focussize="0,0"/>
            <v:stroke on="f" joinstyle="miter"/>
            <v:imagedata r:id="rId44" o:title=""/>
            <o:lock v:ext="edit" aspectratio="t"/>
            <w10:wrap type="none"/>
            <w10:anchorlock/>
          </v:shape>
          <o:OLEObject Type="Embed" ProgID="Equation.DSMT4" ShapeID="_x0000_i1044" DrawAspect="Content" ObjectID="_1468075744" r:id="rId43">
            <o:LockedField>false</o:LockedField>
          </o:OLEObject>
        </w:object>
      </w:r>
      <w:r>
        <w:rPr>
          <w:rFonts w:ascii="Arial" w:hAnsi="Arial" w:cs="Arial"/>
          <w:sz w:val="20"/>
          <w:szCs w:val="20"/>
        </w:rPr>
        <w:t xml:space="preserve">→ 1 when </w:t>
      </w:r>
      <w:r>
        <w:rPr>
          <w:rFonts w:ascii="Arial" w:hAnsi="Arial" w:cs="Arial"/>
          <w:position w:val="-6"/>
          <w:sz w:val="20"/>
          <w:szCs w:val="20"/>
        </w:rPr>
        <w:object>
          <v:shape id="_x0000_i1045" o:spt="75" type="#_x0000_t75" style="height:10.8pt;width:9pt;" o:ole="t" filled="f" o:preferrelative="t" stroked="f" coordsize="21600,21600">
            <v:path/>
            <v:fill on="f" focussize="0,0"/>
            <v:stroke on="f" joinstyle="miter"/>
            <v:imagedata r:id="rId10" o:title=""/>
            <o:lock v:ext="edit" aspectratio="t"/>
            <w10:wrap type="none"/>
            <w10:anchorlock/>
          </v:shape>
          <o:OLEObject Type="Embed" ProgID="Equation.DSMT4" ShapeID="_x0000_i1045" DrawAspect="Content" ObjectID="_1468075745" r:id="rId45">
            <o:LockedField>false</o:LockedField>
          </o:OLEObject>
        </w:object>
      </w:r>
      <w:r>
        <w:rPr>
          <w:rFonts w:ascii="Arial" w:hAnsi="Arial" w:cs="Arial"/>
          <w:sz w:val="20"/>
          <w:szCs w:val="20"/>
        </w:rPr>
        <w:t xml:space="preserve">→ 0. Therefore, the equilibrium point </w:t>
      </w:r>
      <w:r>
        <w:rPr>
          <w:rFonts w:ascii="Arial" w:hAnsi="Arial" w:cs="Arial"/>
          <w:position w:val="-4"/>
          <w:sz w:val="20"/>
          <w:szCs w:val="20"/>
        </w:rPr>
        <w:object>
          <v:shape id="_x0000_i1046" o:spt="75" type="#_x0000_t75" style="height:16.2pt;width:12pt;" o:ole="t" filled="f" o:preferrelative="t" stroked="f" coordsize="21600,21600">
            <v:path/>
            <v:fill on="f" focussize="0,0"/>
            <v:stroke on="f" joinstyle="miter"/>
            <v:imagedata r:id="rId47" o:title=""/>
            <o:lock v:ext="edit" aspectratio="t"/>
            <w10:wrap type="none"/>
            <w10:anchorlock/>
          </v:shape>
          <o:OLEObject Type="Embed" ProgID="Equation.DSMT4" ShapeID="_x0000_i1046" DrawAspect="Content" ObjectID="_1468075746" r:id="rId46">
            <o:LockedField>false</o:LockedField>
          </o:OLEObject>
        </w:object>
      </w:r>
      <w:r>
        <w:rPr>
          <w:rFonts w:ascii="Arial" w:hAnsi="Arial" w:cs="Arial"/>
          <w:sz w:val="20"/>
          <w:szCs w:val="20"/>
        </w:rPr>
        <w:t xml:space="preserve">is stable when </w:t>
      </w:r>
      <w:r>
        <w:rPr>
          <w:rFonts w:ascii="Arial" w:hAnsi="Arial" w:cs="Arial"/>
          <w:position w:val="-10"/>
          <w:sz w:val="20"/>
          <w:szCs w:val="20"/>
        </w:rPr>
        <w:object>
          <v:shape id="_x0000_i1047" o:spt="75" type="#_x0000_t75" style="height:16.2pt;width:42pt;" o:ole="t" filled="f" o:preferrelative="t" stroked="f" coordsize="21600,21600">
            <v:path/>
            <v:fill on="f" focussize="0,0"/>
            <v:stroke on="f" joinstyle="miter"/>
            <v:imagedata r:id="rId49" o:title=""/>
            <o:lock v:ext="edit" aspectratio="t"/>
            <w10:wrap type="none"/>
            <w10:anchorlock/>
          </v:shape>
          <o:OLEObject Type="Embed" ProgID="Equation.DSMT4" ShapeID="_x0000_i1047" DrawAspect="Content" ObjectID="_1468075747" r:id="rId48">
            <o:LockedField>false</o:LockedField>
          </o:OLEObject>
        </w:object>
      </w:r>
      <w:r>
        <w:rPr>
          <w:rFonts w:ascii="Arial" w:hAnsi="Arial" w:cs="Arial"/>
          <w:sz w:val="20"/>
          <w:szCs w:val="20"/>
        </w:rPr>
        <w:t xml:space="preserve"> and </w:t>
      </w:r>
      <w:r>
        <w:rPr>
          <w:rFonts w:ascii="Arial" w:hAnsi="Arial" w:cs="Arial"/>
          <w:position w:val="-12"/>
          <w:sz w:val="20"/>
          <w:szCs w:val="20"/>
        </w:rPr>
        <w:object>
          <v:shape id="_x0000_i1048" o:spt="75" type="#_x0000_t75" style="height:18pt;width:33pt;" o:ole="t" filled="f" o:preferrelative="t" stroked="f" coordsize="21600,21600">
            <v:path/>
            <v:fill on="f" focussize="0,0"/>
            <v:stroke on="f" joinstyle="miter"/>
            <v:imagedata r:id="rId51" o:title=""/>
            <o:lock v:ext="edit" aspectratio="t"/>
            <w10:wrap type="none"/>
            <w10:anchorlock/>
          </v:shape>
          <o:OLEObject Type="Embed" ProgID="Equation.DSMT4" ShapeID="_x0000_i1048" DrawAspect="Content" ObjectID="_1468075748" r:id="rId50">
            <o:LockedField>false</o:LockedField>
          </o:OLEObject>
        </w:object>
      </w:r>
      <w:r>
        <w:rPr>
          <w:rFonts w:ascii="Arial" w:hAnsi="Arial" w:cs="Arial"/>
          <w:sz w:val="20"/>
          <w:szCs w:val="20"/>
        </w:rPr>
        <w:t xml:space="preserve"> is a critical value, at which the system undergoes a critical transition. Based on the theoretical model Eq.(S2), we collected time-course data of the 8-gene expressions under each parameter condition. Then, we simulated the mean sKLD curve, as shown in Fig.2b in the main text.</w:t>
      </w:r>
    </w:p>
    <w:p>
      <w:pPr>
        <w:snapToGrid w:val="0"/>
        <w:spacing w:before="156" w:beforeLines="50" w:after="156" w:afterLines="50" w:line="360" w:lineRule="auto"/>
        <w:rPr>
          <w:rFonts w:ascii="Arial" w:hAnsi="Arial" w:cs="Arial"/>
          <w:sz w:val="20"/>
          <w:szCs w:val="20"/>
        </w:rPr>
      </w:pPr>
    </w:p>
    <w:p>
      <w:pPr>
        <w:snapToGrid w:val="0"/>
        <w:spacing w:before="156" w:beforeLines="50" w:after="156" w:afterLines="50" w:line="360" w:lineRule="auto"/>
        <w:rPr>
          <w:rFonts w:ascii="Arial" w:hAnsi="Arial" w:cs="Arial"/>
          <w:sz w:val="20"/>
          <w:szCs w:val="20"/>
        </w:rPr>
      </w:pPr>
      <w:r>
        <w:rPr>
          <w:rFonts w:hint="eastAsia" w:ascii="Arial" w:hAnsi="Arial" w:cs="Arial"/>
          <w:sz w:val="20"/>
          <w:szCs w:val="20"/>
        </w:rPr>
        <w:t>Besides, by using the simulated dataset generated from Eq. (S1), we have the following discussion.</w:t>
      </w:r>
      <w:r>
        <w:rPr>
          <w:rFonts w:ascii="Arial" w:hAnsi="Arial" w:cs="Arial"/>
          <w:sz w:val="20"/>
          <w:szCs w:val="20"/>
        </w:rPr>
        <w:t xml:space="preserve"> As shown in </w:t>
      </w:r>
      <w:r>
        <w:rPr>
          <w:rFonts w:hint="eastAsia" w:ascii="Arial" w:hAnsi="Arial" w:cs="Arial"/>
          <w:sz w:val="20"/>
          <w:szCs w:val="20"/>
        </w:rPr>
        <w:t>F</w:t>
      </w:r>
      <w:r>
        <w:rPr>
          <w:rFonts w:ascii="Arial" w:hAnsi="Arial" w:cs="Arial"/>
          <w:sz w:val="20"/>
          <w:szCs w:val="20"/>
        </w:rPr>
        <w:t xml:space="preserve">igure </w:t>
      </w:r>
      <w:r>
        <w:rPr>
          <w:rFonts w:hint="eastAsia" w:ascii="Arial" w:hAnsi="Arial" w:cs="Arial"/>
          <w:sz w:val="20"/>
          <w:szCs w:val="20"/>
        </w:rPr>
        <w:t>S1</w:t>
      </w:r>
      <w:r>
        <w:rPr>
          <w:rFonts w:ascii="Arial" w:hAnsi="Arial" w:cs="Arial"/>
          <w:sz w:val="20"/>
          <w:szCs w:val="20"/>
        </w:rPr>
        <w:t xml:space="preserve">, we have analyzed the signals when </w:t>
      </w:r>
      <w:r>
        <w:rPr>
          <w:rFonts w:ascii="Arial" w:hAnsi="Arial" w:eastAsia="Verdana" w:cs="Arial"/>
          <w:color w:val="000000"/>
          <w:sz w:val="20"/>
          <w:szCs w:val="20"/>
          <w:shd w:val="clear" w:color="auto" w:fill="FFFFFF"/>
        </w:rPr>
        <w:t>the number of reference samples</w:t>
      </w:r>
      <w:r>
        <w:rPr>
          <w:rFonts w:ascii="Arial" w:hAnsi="Arial" w:cs="Arial"/>
          <w:sz w:val="20"/>
          <w:szCs w:val="20"/>
        </w:rPr>
        <w:t xml:space="preserve"> varies. It can be seen from Figure </w:t>
      </w:r>
      <w:r>
        <w:rPr>
          <w:rFonts w:hint="eastAsia" w:ascii="Arial" w:hAnsi="Arial" w:cs="Arial"/>
          <w:sz w:val="20"/>
          <w:szCs w:val="20"/>
        </w:rPr>
        <w:t xml:space="preserve">S1 that </w:t>
      </w:r>
      <w:r>
        <w:rPr>
          <w:rFonts w:ascii="Arial" w:hAnsi="Arial" w:cs="Arial"/>
          <w:sz w:val="20"/>
          <w:szCs w:val="20"/>
        </w:rPr>
        <w:t xml:space="preserve">the </w:t>
      </w:r>
      <w:r>
        <w:rPr>
          <w:rFonts w:ascii="Arial" w:hAnsi="Arial" w:eastAsia="Verdana" w:cs="Arial"/>
          <w:color w:val="000000"/>
          <w:sz w:val="20"/>
          <w:szCs w:val="20"/>
          <w:shd w:val="clear" w:color="auto" w:fill="FFFFFF"/>
        </w:rPr>
        <w:t>sKLD index</w:t>
      </w:r>
      <w:r>
        <w:rPr>
          <w:rFonts w:ascii="Arial" w:hAnsi="Arial" w:cs="Arial"/>
          <w:sz w:val="20"/>
          <w:szCs w:val="20"/>
        </w:rPr>
        <w:t xml:space="preserve"> accurately indicates the tipping point under different reference sample sizes. Therefore, different settings of </w:t>
      </w:r>
      <w:r>
        <w:rPr>
          <w:rFonts w:ascii="Arial" w:hAnsi="Arial" w:eastAsia="Verdana" w:cs="Arial"/>
          <w:color w:val="000000"/>
          <w:sz w:val="20"/>
          <w:szCs w:val="20"/>
          <w:shd w:val="clear" w:color="auto" w:fill="FFFFFF"/>
        </w:rPr>
        <w:t xml:space="preserve">the number of reference samples </w:t>
      </w:r>
      <w:r>
        <w:rPr>
          <w:rFonts w:ascii="Arial" w:hAnsi="Arial" w:cs="Arial"/>
          <w:sz w:val="20"/>
          <w:szCs w:val="20"/>
        </w:rPr>
        <w:t>do not affect the evolution tendency of the signal curve.</w:t>
      </w:r>
    </w:p>
    <w:p>
      <w:pPr>
        <w:snapToGrid w:val="0"/>
        <w:spacing w:before="156" w:beforeLines="50" w:after="156" w:afterLines="50" w:line="360" w:lineRule="auto"/>
        <w:rPr>
          <w:rFonts w:ascii="Arial" w:hAnsi="Arial" w:cs="Arial"/>
          <w:sz w:val="20"/>
          <w:szCs w:val="20"/>
        </w:rPr>
      </w:pPr>
      <w:r>
        <w:rPr>
          <w:rFonts w:hint="eastAsia" w:ascii="Arial" w:hAnsi="Arial" w:cs="Arial"/>
          <w:sz w:val="20"/>
          <w:szCs w:val="20"/>
        </w:rPr>
        <w:drawing>
          <wp:inline distT="0" distB="0" distL="114300" distR="114300">
            <wp:extent cx="5272405" cy="1751965"/>
            <wp:effectExtent l="0" t="0" r="4445" b="635"/>
            <wp:docPr id="7" name="图片 7" descr="QQ图片2019122915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191229152418"/>
                    <pic:cNvPicPr>
                      <a:picLocks noChangeAspect="1"/>
                    </pic:cNvPicPr>
                  </pic:nvPicPr>
                  <pic:blipFill>
                    <a:blip r:embed="rId52"/>
                    <a:stretch>
                      <a:fillRect/>
                    </a:stretch>
                  </pic:blipFill>
                  <pic:spPr>
                    <a:xfrm>
                      <a:off x="0" y="0"/>
                      <a:ext cx="5272405" cy="1751965"/>
                    </a:xfrm>
                    <a:prstGeom prst="rect">
                      <a:avLst/>
                    </a:prstGeom>
                  </pic:spPr>
                </pic:pic>
              </a:graphicData>
            </a:graphic>
          </wp:inline>
        </w:drawing>
      </w:r>
    </w:p>
    <w:p>
      <w:pPr>
        <w:spacing w:after="156" w:afterLines="50" w:line="288" w:lineRule="auto"/>
        <w:rPr>
          <w:rFonts w:ascii="Arial" w:hAnsi="Arial" w:cs="Arial"/>
          <w:sz w:val="18"/>
          <w:szCs w:val="18"/>
        </w:rPr>
      </w:pPr>
      <w:r>
        <w:rPr>
          <w:rFonts w:ascii="Arial" w:hAnsi="Arial" w:cs="Arial"/>
          <w:sz w:val="18"/>
          <w:szCs w:val="18"/>
        </w:rPr>
        <w:t xml:space="preserve">Figure </w:t>
      </w:r>
      <w:r>
        <w:rPr>
          <w:rFonts w:hint="eastAsia" w:ascii="Arial" w:hAnsi="Arial" w:cs="Arial"/>
          <w:sz w:val="18"/>
          <w:szCs w:val="18"/>
        </w:rPr>
        <w:t>S1</w:t>
      </w:r>
      <w:r>
        <w:rPr>
          <w:rFonts w:ascii="Arial" w:hAnsi="Arial" w:cs="Arial"/>
          <w:sz w:val="18"/>
          <w:szCs w:val="18"/>
        </w:rPr>
        <w:t>: The critical signals under different reference sample sizes.</w:t>
      </w:r>
    </w:p>
    <w:p>
      <w:pPr>
        <w:snapToGrid w:val="0"/>
        <w:spacing w:before="156" w:beforeLines="50" w:after="156" w:afterLines="50" w:line="360" w:lineRule="auto"/>
        <w:rPr>
          <w:rFonts w:ascii="Arial" w:hAnsi="Arial" w:cs="Arial"/>
          <w:sz w:val="20"/>
          <w:szCs w:val="20"/>
        </w:rPr>
      </w:pPr>
    </w:p>
    <w:p>
      <w:pPr>
        <w:snapToGrid w:val="0"/>
        <w:spacing w:before="156" w:beforeLines="50" w:after="156" w:afterLines="50" w:line="360" w:lineRule="auto"/>
        <w:rPr>
          <w:rFonts w:ascii="Arial" w:hAnsi="Arial" w:cs="Arial"/>
          <w:sz w:val="20"/>
          <w:szCs w:val="20"/>
        </w:rPr>
      </w:pPr>
      <w:r>
        <w:rPr>
          <w:rFonts w:ascii="Arial" w:hAnsi="Arial" w:cs="Arial"/>
          <w:sz w:val="20"/>
          <w:szCs w:val="20"/>
        </w:rPr>
        <w:t xml:space="preserve">As shown in Figure </w:t>
      </w:r>
      <w:r>
        <w:rPr>
          <w:rFonts w:hint="eastAsia" w:ascii="Arial" w:hAnsi="Arial" w:cs="Arial"/>
          <w:sz w:val="20"/>
          <w:szCs w:val="20"/>
        </w:rPr>
        <w:t>S2</w:t>
      </w:r>
      <w:r>
        <w:rPr>
          <w:rFonts w:ascii="Arial" w:hAnsi="Arial" w:cs="Arial"/>
          <w:sz w:val="20"/>
          <w:szCs w:val="20"/>
        </w:rPr>
        <w:t xml:space="preserve">, we have analyzed the signals when noise strength </w:t>
      </w:r>
      <w:r>
        <w:rPr>
          <w:rFonts w:ascii="Arial" w:hAnsi="Arial" w:cs="Arial"/>
          <w:position w:val="-6"/>
          <w:sz w:val="20"/>
          <w:szCs w:val="20"/>
        </w:rPr>
        <w:object>
          <v:shape id="_x0000_i1049" o:spt="75" type="#_x0000_t75" style="height:11.4pt;width:12pt;" o:ole="t" filled="f" o:preferrelative="t" stroked="f" coordsize="21600,21600">
            <v:path/>
            <v:fill on="f" focussize="0,0"/>
            <v:stroke on="f" joinstyle="miter"/>
            <v:imagedata r:id="rId54" o:title=""/>
            <o:lock v:ext="edit" aspectratio="t"/>
            <w10:wrap type="none"/>
            <w10:anchorlock/>
          </v:shape>
          <o:OLEObject Type="Embed" ProgID="Equation.DSMT4" ShapeID="_x0000_i1049" DrawAspect="Content" ObjectID="_1468075749" r:id="rId53">
            <o:LockedField>false</o:LockedField>
          </o:OLEObject>
        </w:object>
      </w:r>
      <w:r>
        <w:rPr>
          <w:rFonts w:ascii="Arial" w:hAnsi="Arial" w:cs="Arial"/>
          <w:sz w:val="20"/>
          <w:szCs w:val="20"/>
        </w:rPr>
        <w:t xml:space="preserve">varies. It can be seen from Figure </w:t>
      </w:r>
      <w:r>
        <w:rPr>
          <w:rFonts w:hint="eastAsia" w:ascii="Arial" w:hAnsi="Arial" w:cs="Arial"/>
          <w:sz w:val="20"/>
          <w:szCs w:val="20"/>
        </w:rPr>
        <w:t>S2</w:t>
      </w:r>
      <w:r>
        <w:rPr>
          <w:rFonts w:ascii="Arial" w:hAnsi="Arial" w:cs="Arial"/>
          <w:sz w:val="20"/>
          <w:szCs w:val="20"/>
        </w:rPr>
        <w:t xml:space="preserve"> that although the strength of </w:t>
      </w:r>
      <w:r>
        <w:rPr>
          <w:rFonts w:hint="eastAsia" w:ascii="Arial" w:hAnsi="Arial" w:cs="Arial"/>
          <w:sz w:val="20"/>
          <w:szCs w:val="20"/>
        </w:rPr>
        <w:t xml:space="preserve">the </w:t>
      </w:r>
      <w:r>
        <w:rPr>
          <w:rFonts w:ascii="Arial" w:hAnsi="Arial" w:cs="Arial"/>
          <w:sz w:val="20"/>
          <w:szCs w:val="20"/>
        </w:rPr>
        <w:t xml:space="preserve">signal may change, the </w:t>
      </w:r>
      <w:r>
        <w:rPr>
          <w:rFonts w:ascii="Arial" w:hAnsi="Arial" w:eastAsia="Verdana" w:cs="Arial"/>
          <w:color w:val="000000"/>
          <w:sz w:val="20"/>
          <w:szCs w:val="20"/>
          <w:shd w:val="clear" w:color="auto" w:fill="FFFFFF"/>
        </w:rPr>
        <w:t>sKLD index</w:t>
      </w:r>
      <w:r>
        <w:rPr>
          <w:rFonts w:ascii="Arial" w:hAnsi="Arial" w:cs="Arial"/>
          <w:sz w:val="20"/>
          <w:szCs w:val="20"/>
        </w:rPr>
        <w:t xml:space="preserve"> accurately indicates the tipping point with </w:t>
      </w:r>
      <w:r>
        <w:rPr>
          <w:rFonts w:hint="eastAsia" w:ascii="Arial" w:hAnsi="Arial" w:cs="Arial"/>
          <w:sz w:val="20"/>
          <w:szCs w:val="20"/>
        </w:rPr>
        <w:t xml:space="preserve">a </w:t>
      </w:r>
      <w:r>
        <w:rPr>
          <w:rFonts w:ascii="Arial" w:hAnsi="Arial" w:cs="Arial"/>
          <w:sz w:val="20"/>
          <w:szCs w:val="20"/>
        </w:rPr>
        <w:t xml:space="preserve">similar tendency. Therefore, different settings of noise strength </w:t>
      </w:r>
      <w:r>
        <w:rPr>
          <w:rFonts w:ascii="Arial" w:hAnsi="Arial" w:cs="Arial"/>
          <w:position w:val="-6"/>
          <w:sz w:val="20"/>
          <w:szCs w:val="20"/>
        </w:rPr>
        <w:object>
          <v:shape id="_x0000_i1050" o:spt="75" type="#_x0000_t75" style="height:11.4pt;width:12pt;" o:ole="t" filled="f" o:preferrelative="t" stroked="f" coordsize="21600,21600">
            <v:path/>
            <v:fill on="f" focussize="0,0"/>
            <v:stroke on="f" joinstyle="miter"/>
            <v:imagedata r:id="rId54" o:title=""/>
            <o:lock v:ext="edit" aspectratio="t"/>
            <w10:wrap type="none"/>
            <w10:anchorlock/>
          </v:shape>
          <o:OLEObject Type="Embed" ProgID="Equation.DSMT4" ShapeID="_x0000_i1050" DrawAspect="Content" ObjectID="_1468075750" r:id="rId55">
            <o:LockedField>false</o:LockedField>
          </o:OLEObject>
        </w:object>
      </w:r>
      <w:r>
        <w:rPr>
          <w:rFonts w:ascii="Arial" w:hAnsi="Arial" w:cs="Arial"/>
          <w:sz w:val="20"/>
          <w:szCs w:val="20"/>
        </w:rPr>
        <w:t xml:space="preserve"> may affect the strength of the signal, but do not affect the evolution tendency (e.g., abrupt increase when approaching the tipping point) of the signal curve.</w:t>
      </w:r>
    </w:p>
    <w:p>
      <w:pPr>
        <w:snapToGrid w:val="0"/>
        <w:spacing w:before="156" w:beforeLines="50" w:after="156" w:afterLines="50" w:line="360" w:lineRule="auto"/>
        <w:rPr>
          <w:rFonts w:ascii="Arial" w:hAnsi="Arial" w:cs="Arial"/>
          <w:sz w:val="20"/>
          <w:szCs w:val="20"/>
        </w:rPr>
      </w:pPr>
      <w:r>
        <w:rPr>
          <w:rFonts w:ascii="Arial" w:hAnsi="Arial" w:cs="Arial"/>
          <w:sz w:val="20"/>
          <w:szCs w:val="20"/>
        </w:rPr>
        <w:drawing>
          <wp:inline distT="0" distB="0" distL="114300" distR="114300">
            <wp:extent cx="5264785" cy="1811020"/>
            <wp:effectExtent l="0" t="0" r="12065" b="17780"/>
            <wp:docPr id="6" name="图片 6" descr="QQ图片2019122915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91229152253"/>
                    <pic:cNvPicPr>
                      <a:picLocks noChangeAspect="1"/>
                    </pic:cNvPicPr>
                  </pic:nvPicPr>
                  <pic:blipFill>
                    <a:blip r:embed="rId56"/>
                    <a:stretch>
                      <a:fillRect/>
                    </a:stretch>
                  </pic:blipFill>
                  <pic:spPr>
                    <a:xfrm>
                      <a:off x="0" y="0"/>
                      <a:ext cx="5264785" cy="1811020"/>
                    </a:xfrm>
                    <a:prstGeom prst="rect">
                      <a:avLst/>
                    </a:prstGeom>
                  </pic:spPr>
                </pic:pic>
              </a:graphicData>
            </a:graphic>
          </wp:inline>
        </w:drawing>
      </w:r>
    </w:p>
    <w:p>
      <w:pPr>
        <w:spacing w:after="156" w:afterLines="50" w:line="288" w:lineRule="auto"/>
        <w:rPr>
          <w:rFonts w:ascii="Arial" w:hAnsi="Arial" w:cs="Arial"/>
          <w:sz w:val="18"/>
          <w:szCs w:val="18"/>
        </w:rPr>
      </w:pPr>
      <w:r>
        <w:rPr>
          <w:rFonts w:ascii="Arial" w:hAnsi="Arial" w:cs="Arial"/>
          <w:sz w:val="18"/>
          <w:szCs w:val="18"/>
        </w:rPr>
        <w:t xml:space="preserve">Figure </w:t>
      </w:r>
      <w:r>
        <w:rPr>
          <w:rFonts w:hint="eastAsia" w:ascii="Arial" w:hAnsi="Arial" w:cs="Arial"/>
          <w:sz w:val="18"/>
          <w:szCs w:val="18"/>
        </w:rPr>
        <w:t>S2</w:t>
      </w:r>
      <w:r>
        <w:rPr>
          <w:rFonts w:ascii="Arial" w:hAnsi="Arial" w:cs="Arial"/>
          <w:sz w:val="18"/>
          <w:szCs w:val="18"/>
        </w:rPr>
        <w:t>:</w:t>
      </w:r>
      <w:r>
        <w:rPr>
          <w:rFonts w:hint="eastAsia" w:ascii="Arial" w:hAnsi="Arial" w:cs="Arial"/>
          <w:sz w:val="18"/>
          <w:szCs w:val="18"/>
        </w:rPr>
        <w:t xml:space="preserve"> </w:t>
      </w:r>
      <w:r>
        <w:rPr>
          <w:rFonts w:ascii="Arial" w:hAnsi="Arial" w:cs="Arial"/>
          <w:sz w:val="18"/>
          <w:szCs w:val="18"/>
        </w:rPr>
        <w:t>The critical signals under different noise strength.</w:t>
      </w:r>
    </w:p>
    <w:p>
      <w:pPr>
        <w:spacing w:before="156" w:beforeLines="50" w:after="156" w:afterLines="50" w:line="360" w:lineRule="auto"/>
        <w:rPr>
          <w:rFonts w:ascii="Times New Roman" w:hAnsi="Times New Roman" w:cs="Times New Roman"/>
          <w:sz w:val="24"/>
        </w:rPr>
      </w:pPr>
    </w:p>
    <w:p>
      <w:pPr>
        <w:spacing w:before="156" w:beforeLines="50" w:after="156" w:afterLines="50" w:line="360" w:lineRule="auto"/>
        <w:rPr>
          <w:rFonts w:ascii="Arial" w:hAnsi="Arial" w:eastAsia="Verdana" w:cs="Arial"/>
          <w:b/>
          <w:bCs/>
          <w:color w:val="000000"/>
          <w:sz w:val="22"/>
          <w:szCs w:val="22"/>
          <w:shd w:val="clear" w:color="auto" w:fill="FFFFFF"/>
        </w:rPr>
      </w:pPr>
      <w:r>
        <w:rPr>
          <w:rFonts w:ascii="Arial" w:hAnsi="Arial" w:eastAsia="宋体" w:cs="Arial"/>
          <w:b/>
          <w:bCs/>
          <w:color w:val="000000"/>
          <w:sz w:val="22"/>
          <w:szCs w:val="22"/>
          <w:shd w:val="clear" w:color="auto" w:fill="FFFFFF"/>
        </w:rPr>
        <w:t>T</w:t>
      </w:r>
      <w:r>
        <w:rPr>
          <w:rFonts w:ascii="Arial" w:hAnsi="Arial" w:eastAsia="Verdana" w:cs="Arial"/>
          <w:b/>
          <w:bCs/>
          <w:color w:val="000000"/>
          <w:sz w:val="22"/>
          <w:szCs w:val="22"/>
          <w:shd w:val="clear" w:color="auto" w:fill="FFFFFF"/>
        </w:rPr>
        <w:t>he definition of "cumulative area"</w:t>
      </w:r>
    </w:p>
    <w:p>
      <w:pPr>
        <w:spacing w:before="156" w:beforeLines="50" w:after="156" w:afterLines="50" w:line="360" w:lineRule="auto"/>
        <w:rPr>
          <w:rFonts w:ascii="Arial" w:hAnsi="Arial" w:eastAsia="Verdana" w:cs="Arial"/>
          <w:b/>
          <w:bCs/>
          <w:color w:val="000000"/>
          <w:sz w:val="22"/>
          <w:szCs w:val="22"/>
          <w:shd w:val="clear" w:color="auto" w:fill="FFFFFF"/>
        </w:rPr>
      </w:pPr>
      <w:r>
        <w:rPr>
          <w:rFonts w:hint="eastAsia" w:ascii="Arial" w:hAnsi="Arial" w:cs="Arial"/>
          <w:sz w:val="20"/>
          <w:szCs w:val="20"/>
          <w:lang w:val="en-US" w:eastAsia="zh-CN"/>
        </w:rPr>
        <w:t>F</w:t>
      </w:r>
      <w:r>
        <w:rPr>
          <w:rFonts w:ascii="Arial" w:hAnsi="Arial" w:cs="Arial"/>
          <w:sz w:val="20"/>
          <w:szCs w:val="20"/>
          <w:lang w:eastAsia="zh-CN"/>
        </w:rPr>
        <w:t>or</w:t>
      </w:r>
      <w:r>
        <w:rPr>
          <w:rFonts w:ascii="Arial" w:hAnsi="Arial" w:cs="Arial"/>
          <w:color w:val="252525"/>
          <w:sz w:val="20"/>
          <w:szCs w:val="20"/>
        </w:rPr>
        <w:t xml:space="preserve"> </w:t>
      </w:r>
      <w:r>
        <w:rPr>
          <w:rFonts w:hint="eastAsia" w:ascii="Arial" w:hAnsi="Arial" w:cs="Arial"/>
          <w:color w:val="252525"/>
          <w:sz w:val="20"/>
          <w:szCs w:val="20"/>
          <w:lang w:eastAsia="zh-CN"/>
        </w:rPr>
        <w:t xml:space="preserve">the simulated </w:t>
      </w:r>
      <w:r>
        <w:rPr>
          <w:rFonts w:ascii="Arial" w:hAnsi="Arial" w:cs="Arial"/>
          <w:color w:val="252525"/>
          <w:sz w:val="20"/>
          <w:szCs w:val="20"/>
        </w:rPr>
        <w:t>Gaussian</w:t>
      </w:r>
      <w:r>
        <w:rPr>
          <w:rFonts w:ascii="Arial" w:hAnsi="Arial" w:eastAsia="Verdana" w:cs="Arial"/>
          <w:color w:val="000000"/>
          <w:sz w:val="20"/>
          <w:szCs w:val="20"/>
          <w:shd w:val="clear" w:color="auto" w:fill="FFFFFF"/>
        </w:rPr>
        <w:t xml:space="preserve"> distribution</w:t>
      </w:r>
      <w:r>
        <w:rPr>
          <w:rFonts w:hint="eastAsia" w:ascii="Arial" w:hAnsi="Arial" w:cs="Arial"/>
          <w:color w:val="000000"/>
          <w:sz w:val="20"/>
          <w:szCs w:val="20"/>
          <w:shd w:val="clear" w:color="auto" w:fill="FFFFFF"/>
          <w:lang w:eastAsia="zh-CN"/>
        </w:rPr>
        <w:t xml:space="preserve"> </w:t>
      </w:r>
      <w:r>
        <w:rPr>
          <w:rFonts w:ascii="Arial" w:hAnsi="Arial" w:cs="Arial"/>
          <w:color w:val="252525"/>
          <w:position w:val="-14"/>
          <w:sz w:val="20"/>
          <w:szCs w:val="20"/>
        </w:rPr>
        <w:object>
          <v:shape id="_x0000_i1059" o:spt="75" type="#_x0000_t75" style="height:16.75pt;width:35.6pt;" o:ole="t" filled="f" o:preferrelative="t" stroked="f" coordsize="21600,21600">
            <v:path/>
            <v:fill on="f" alignshape="1" focussize="0,0"/>
            <v:stroke on="f"/>
            <v:imagedata r:id="rId58" o:title=""/>
            <o:lock v:ext="edit" aspectratio="t"/>
            <w10:wrap type="none"/>
            <w10:anchorlock/>
          </v:shape>
          <o:OLEObject Type="Embed" ProgID="Equation.KSEE3" ShapeID="_x0000_i1059" DrawAspect="Content" ObjectID="_1468075751" r:id="rId57">
            <o:LockedField>false</o:LockedField>
          </o:OLEObject>
        </w:object>
      </w:r>
      <w:r>
        <w:rPr>
          <w:rFonts w:ascii="Arial" w:hAnsi="Arial" w:cs="Arial"/>
          <w:color w:val="000000"/>
          <w:sz w:val="20"/>
          <w:szCs w:val="20"/>
          <w:shd w:val="clear" w:color="auto" w:fill="FFFFFF"/>
          <w:lang w:eastAsia="zh-CN"/>
        </w:rPr>
        <w:t xml:space="preserve"> of</w:t>
      </w:r>
      <w:r>
        <w:rPr>
          <w:rFonts w:hint="eastAsia" w:ascii="Arial" w:hAnsi="Arial" w:cs="Arial"/>
          <w:color w:val="000000"/>
          <w:sz w:val="20"/>
          <w:szCs w:val="20"/>
          <w:shd w:val="clear" w:color="auto" w:fill="FFFFFF"/>
          <w:lang w:eastAsia="zh-CN"/>
        </w:rPr>
        <w:t xml:space="preserve"> </w:t>
      </w:r>
      <w:r>
        <w:rPr>
          <w:rFonts w:ascii="Arial" w:hAnsi="Arial" w:cs="Arial"/>
          <w:color w:val="000000"/>
          <w:sz w:val="20"/>
          <w:szCs w:val="20"/>
          <w:shd w:val="clear" w:color="auto" w:fill="FFFFFF"/>
          <w:lang w:eastAsia="zh-CN"/>
        </w:rPr>
        <w:t xml:space="preserve">a </w:t>
      </w:r>
      <w:r>
        <w:rPr>
          <w:rFonts w:hint="eastAsia" w:ascii="Arial" w:hAnsi="Arial" w:cs="Arial"/>
          <w:color w:val="000000"/>
          <w:sz w:val="20"/>
          <w:szCs w:val="20"/>
          <w:shd w:val="clear" w:color="auto" w:fill="FFFFFF"/>
          <w:lang w:eastAsia="zh-CN"/>
        </w:rPr>
        <w:t xml:space="preserve">gene </w:t>
      </w:r>
      <w:r>
        <w:rPr>
          <w:rFonts w:ascii="Arial" w:hAnsi="Arial" w:cs="Arial"/>
          <w:position w:val="-12"/>
          <w:sz w:val="20"/>
          <w:szCs w:val="20"/>
          <w:lang w:eastAsia="zh-CN"/>
        </w:rPr>
        <w:object>
          <v:shape id="_x0000_i1060" o:spt="75" type="#_x0000_t75" style="height:18pt;width:12pt;" o:ole="t" filled="f" o:preferrelative="t" stroked="f" coordsize="21600,21600">
            <v:path/>
            <v:fill on="f" focussize="0,0"/>
            <v:stroke on="f"/>
            <v:imagedata r:id="rId60" o:title=""/>
            <o:lock v:ext="edit" aspectratio="t"/>
            <w10:wrap type="none"/>
            <w10:anchorlock/>
          </v:shape>
          <o:OLEObject Type="Embed" ProgID="Equation.KSEE3" ShapeID="_x0000_i1060" DrawAspect="Content" ObjectID="_1468075752" r:id="rId59">
            <o:LockedField>false</o:LockedField>
          </o:OLEObject>
        </w:object>
      </w:r>
      <w:r>
        <w:rPr>
          <w:rFonts w:ascii="Arial" w:hAnsi="Arial" w:cs="Arial"/>
          <w:sz w:val="20"/>
          <w:szCs w:val="20"/>
          <w:lang w:eastAsia="zh-CN"/>
        </w:rPr>
        <w:t>,</w:t>
      </w:r>
      <w:r>
        <w:rPr>
          <w:rFonts w:hint="eastAsia" w:ascii="Arial" w:hAnsi="Arial" w:cs="Arial"/>
          <w:sz w:val="20"/>
          <w:szCs w:val="20"/>
          <w:lang w:eastAsia="zh-CN"/>
        </w:rPr>
        <w:t xml:space="preserve"> </w:t>
      </w:r>
      <w:r>
        <w:rPr>
          <w:rFonts w:ascii="Arial" w:hAnsi="Arial" w:cs="Arial"/>
          <w:sz w:val="20"/>
          <w:szCs w:val="20"/>
          <w:lang w:eastAsia="zh-CN"/>
        </w:rPr>
        <w:t xml:space="preserve">where </w:t>
      </w:r>
      <w:r>
        <w:rPr>
          <w:position w:val="-10"/>
        </w:rPr>
        <w:object>
          <v:shape id="_x0000_i1061" o:spt="75" type="#_x0000_t75" style="height:13pt;width:12pt;" o:ole="t" filled="f" stroked="f" coordsize="21600,21600">
            <v:path/>
            <v:fill on="f" focussize="0,0"/>
            <v:stroke on="f"/>
            <v:imagedata r:id="rId62" o:title=""/>
            <o:lock v:ext="edit" aspectratio="t"/>
            <w10:wrap type="none"/>
            <w10:anchorlock/>
          </v:shape>
          <o:OLEObject Type="Embed" ProgID="Equation.DSMT4" ShapeID="_x0000_i1061" DrawAspect="Content" ObjectID="_1468075753" r:id="rId61">
            <o:LockedField>false</o:LockedField>
          </o:OLEObject>
        </w:object>
      </w:r>
      <w:r>
        <w:t xml:space="preserve"> </w:t>
      </w:r>
      <w:r>
        <w:rPr>
          <w:rFonts w:hint="eastAsia" w:ascii="Arial" w:hAnsi="Arial" w:cs="Arial"/>
          <w:color w:val="000000"/>
          <w:sz w:val="20"/>
          <w:szCs w:val="20"/>
          <w:shd w:val="clear" w:color="auto" w:fill="FFFFFF"/>
          <w:lang w:eastAsia="zh-CN"/>
        </w:rPr>
        <w:t>is</w:t>
      </w:r>
      <w:r>
        <w:rPr>
          <w:rFonts w:ascii="Arial" w:hAnsi="Arial" w:cs="Arial"/>
          <w:color w:val="000000"/>
          <w:sz w:val="20"/>
          <w:szCs w:val="20"/>
          <w:shd w:val="clear" w:color="auto" w:fill="FFFFFF"/>
          <w:lang w:eastAsia="zh-CN"/>
        </w:rPr>
        <w:t xml:space="preserve"> the mean and </w:t>
      </w:r>
      <w:r>
        <w:rPr>
          <w:position w:val="-6"/>
        </w:rPr>
        <w:object>
          <v:shape id="_x0000_i1062" o:spt="75" type="#_x0000_t75" style="height:11pt;width:12pt;" o:ole="t" filled="f" stroked="f" coordsize="21600,21600">
            <v:path/>
            <v:fill on="f" focussize="0,0"/>
            <v:stroke on="f"/>
            <v:imagedata r:id="rId64" o:title=""/>
            <o:lock v:ext="edit" aspectratio="t"/>
            <w10:wrap type="none"/>
            <w10:anchorlock/>
          </v:shape>
          <o:OLEObject Type="Embed" ProgID="Equation.DSMT4" ShapeID="_x0000_i1062" DrawAspect="Content" ObjectID="_1468075754" r:id="rId63">
            <o:LockedField>false</o:LockedField>
          </o:OLEObject>
        </w:object>
      </w:r>
      <w:r>
        <w:t xml:space="preserve"> </w:t>
      </w:r>
      <w:r>
        <w:rPr>
          <w:rFonts w:hint="eastAsia" w:ascii="Arial" w:hAnsi="Arial" w:cs="Arial"/>
          <w:color w:val="000000"/>
          <w:sz w:val="20"/>
          <w:szCs w:val="20"/>
          <w:shd w:val="clear" w:color="auto" w:fill="FFFFFF"/>
          <w:lang w:eastAsia="zh-CN"/>
        </w:rPr>
        <w:t>is</w:t>
      </w:r>
      <w:r>
        <w:rPr>
          <w:rFonts w:ascii="Arial" w:hAnsi="Arial" w:cs="Arial"/>
          <w:color w:val="000000"/>
          <w:sz w:val="20"/>
          <w:szCs w:val="20"/>
          <w:shd w:val="clear" w:color="auto" w:fill="FFFFFF"/>
          <w:lang w:eastAsia="zh-CN"/>
        </w:rPr>
        <w:t xml:space="preserve"> the standard deviation,</w:t>
      </w:r>
      <w:r>
        <w:t xml:space="preserve"> </w:t>
      </w:r>
      <w:r>
        <w:rPr>
          <w:rFonts w:ascii="Arial" w:hAnsi="Arial" w:cs="Arial"/>
          <w:sz w:val="20"/>
          <w:szCs w:val="20"/>
          <w:lang w:eastAsia="zh-CN"/>
        </w:rPr>
        <w:t>t</w:t>
      </w:r>
      <w:r>
        <w:rPr>
          <w:rFonts w:hint="eastAsia" w:ascii="Arial" w:hAnsi="Arial" w:cs="Arial"/>
          <w:sz w:val="20"/>
          <w:szCs w:val="20"/>
          <w:lang w:eastAsia="zh-CN"/>
        </w:rPr>
        <w:t xml:space="preserve">he </w:t>
      </w:r>
      <w:r>
        <w:rPr>
          <w:rFonts w:ascii="Arial" w:hAnsi="Arial" w:eastAsia="Verdana" w:cs="Arial"/>
          <w:color w:val="000000"/>
          <w:sz w:val="20"/>
          <w:szCs w:val="20"/>
          <w:shd w:val="clear" w:color="auto" w:fill="FFFFFF"/>
        </w:rPr>
        <w:t>"cumulative area"</w:t>
      </w:r>
      <w:r>
        <w:rPr>
          <w:rFonts w:hint="eastAsia" w:ascii="Arial" w:hAnsi="Arial" w:cs="Arial"/>
          <w:color w:val="000000"/>
          <w:sz w:val="20"/>
          <w:szCs w:val="20"/>
          <w:shd w:val="clear" w:color="auto" w:fill="FFFFFF"/>
          <w:lang w:eastAsia="zh-CN"/>
        </w:rPr>
        <w:t xml:space="preserve"> </w:t>
      </w:r>
      <w:r>
        <w:rPr>
          <w:rFonts w:ascii="Arial" w:hAnsi="Arial" w:cs="Arial"/>
          <w:color w:val="252525"/>
          <w:position w:val="-14"/>
          <w:sz w:val="20"/>
          <w:szCs w:val="20"/>
        </w:rPr>
        <w:object>
          <v:shape id="_x0000_i1063" o:spt="75" type="#_x0000_t75" style="height:19pt;width:41pt;" o:ole="t" filled="f" o:preferrelative="t" stroked="f" coordsize="21600,21600">
            <v:path/>
            <v:fill on="f" focussize="0,0"/>
            <v:stroke on="f"/>
            <v:imagedata r:id="rId66" o:title=""/>
            <o:lock v:ext="edit" aspectratio="t"/>
            <w10:wrap type="none"/>
            <w10:anchorlock/>
          </v:shape>
          <o:OLEObject Type="Embed" ProgID="Equation.KSEE3" ShapeID="_x0000_i1063" DrawAspect="Content" ObjectID="_1468075755" r:id="rId65">
            <o:LockedField>false</o:LockedField>
          </o:OLEObject>
        </w:object>
      </w:r>
      <w:r>
        <w:rPr>
          <w:rFonts w:hint="eastAsia" w:ascii="Arial" w:hAnsi="Arial" w:cs="Arial"/>
          <w:color w:val="252525"/>
          <w:sz w:val="20"/>
          <w:szCs w:val="20"/>
          <w:lang w:eastAsia="zh-CN"/>
        </w:rPr>
        <w:t xml:space="preserve"> </w:t>
      </w:r>
      <w:r>
        <w:rPr>
          <w:rFonts w:hint="eastAsia" w:ascii="Arial" w:hAnsi="Arial" w:cs="Arial"/>
          <w:color w:val="000000"/>
          <w:sz w:val="20"/>
          <w:szCs w:val="20"/>
          <w:shd w:val="clear" w:color="auto" w:fill="FFFFFF"/>
          <w:lang w:eastAsia="zh-CN"/>
        </w:rPr>
        <w:t>is defined as</w:t>
      </w:r>
      <w:r>
        <w:rPr>
          <w:rFonts w:hint="eastAsia" w:ascii="Arial" w:hAnsi="Arial" w:cs="Arial"/>
          <w:color w:val="000000"/>
          <w:sz w:val="20"/>
          <w:szCs w:val="20"/>
          <w:shd w:val="clear" w:color="auto" w:fill="FFFFFF"/>
          <w:lang w:val="en-US" w:eastAsia="zh-CN"/>
        </w:rPr>
        <w:t xml:space="preserve"> </w:t>
      </w:r>
      <w:r>
        <w:rPr>
          <w:rFonts w:ascii="Arial" w:hAnsi="Arial" w:cs="Arial"/>
          <w:color w:val="000000"/>
          <w:sz w:val="20"/>
          <w:szCs w:val="20"/>
          <w:shd w:val="clear" w:color="auto" w:fill="FFFFFF"/>
        </w:rPr>
        <w:t>Eq. (S4)</w:t>
      </w:r>
      <w:r>
        <w:rPr>
          <w:rFonts w:hint="eastAsia" w:ascii="Arial" w:hAnsi="Arial" w:cs="Arial"/>
          <w:color w:val="000000"/>
          <w:sz w:val="20"/>
          <w:szCs w:val="20"/>
          <w:shd w:val="clear" w:color="auto" w:fill="FFFFFF"/>
          <w:lang w:eastAsia="zh-CN"/>
        </w:rPr>
        <w:t xml:space="preserve">, </w:t>
      </w:r>
    </w:p>
    <w:p>
      <w:pPr>
        <w:spacing w:before="156" w:beforeLines="50" w:after="156" w:afterLines="50" w:line="360" w:lineRule="auto"/>
        <w:ind w:left="2240" w:firstLine="280"/>
        <w:jc w:val="center"/>
      </w:pPr>
      <w:r>
        <w:rPr>
          <w:rFonts w:ascii="Arial" w:hAnsi="Arial" w:cs="Arial"/>
          <w:position w:val="-30"/>
          <w:sz w:val="20"/>
          <w:szCs w:val="20"/>
        </w:rPr>
        <w:object>
          <v:shape id="_x0000_i1053" o:spt="75" type="#_x0000_t75" style="height:37.8pt;width:100.2pt;" o:ole="t" filled="f" o:preferrelative="t" stroked="f" coordsize="21600,21600">
            <v:path/>
            <v:fill on="f" focussize="0,0"/>
            <v:stroke on="f" joinstyle="miter"/>
            <v:imagedata r:id="rId68" o:title=""/>
            <o:lock v:ext="edit" aspectratio="t"/>
            <w10:wrap type="none"/>
            <w10:anchorlock/>
          </v:shape>
          <o:OLEObject Type="Embed" ProgID="Equation.DSMT4" ShapeID="_x0000_i1053" DrawAspect="Content" ObjectID="_1468075756" r:id="rId67">
            <o:LockedField>false</o:LockedField>
          </o:OLEObject>
        </w:object>
      </w:r>
      <w:r>
        <w:rPr>
          <w:rFonts w:hint="eastAsia" w:ascii="Arial" w:hAnsi="Arial" w:cs="Arial"/>
          <w:sz w:val="20"/>
          <w:szCs w:val="20"/>
        </w:rPr>
        <w:t xml:space="preserve">   </w:t>
      </w:r>
      <w:r>
        <w:rPr>
          <w:rFonts w:hint="eastAsia"/>
        </w:rPr>
        <w:t xml:space="preserve">    </w:t>
      </w:r>
      <w:r>
        <w:tab/>
      </w:r>
      <w:r>
        <w:tab/>
      </w:r>
      <w:r>
        <w:rPr>
          <w:rFonts w:hint="eastAsia"/>
        </w:rPr>
        <w:t xml:space="preserve">    </w:t>
      </w:r>
      <w:r>
        <w:tab/>
      </w:r>
      <w:r>
        <w:tab/>
      </w:r>
      <w:r>
        <w:rPr>
          <w:rFonts w:ascii="Arial" w:hAnsi="Arial" w:cs="Arial"/>
          <w:position w:val="-14"/>
          <w:sz w:val="20"/>
          <w:szCs w:val="20"/>
        </w:rPr>
        <w:object>
          <v:shape id="_x0000_i1054" o:spt="75" type="#_x0000_t75" style="height:21pt;width:27.6pt;" o:ole="t" filled="f" o:preferrelative="t" stroked="f" coordsize="21600,21600">
            <v:path/>
            <v:fill on="f" focussize="0,0"/>
            <v:stroke on="f" joinstyle="miter"/>
            <v:imagedata r:id="rId70" o:title=""/>
            <o:lock v:ext="edit" aspectratio="t"/>
            <w10:wrap type="none"/>
            <w10:anchorlock/>
          </v:shape>
          <o:OLEObject Type="Embed" ProgID="Equation.DSMT4" ShapeID="_x0000_i1054" DrawAspect="Content" ObjectID="_1468075757" r:id="rId69">
            <o:LockedField>false</o:LockedField>
          </o:OLEObject>
        </w:object>
      </w:r>
    </w:p>
    <w:p>
      <w:pPr>
        <w:spacing w:before="156" w:beforeLines="50" w:after="156" w:afterLines="50" w:line="360" w:lineRule="auto"/>
        <w:rPr>
          <w:rFonts w:ascii="Arial" w:hAnsi="Arial" w:cs="Arial"/>
          <w:sz w:val="20"/>
          <w:szCs w:val="20"/>
        </w:rPr>
      </w:pPr>
      <w:r>
        <w:rPr>
          <w:rFonts w:hint="eastAsia" w:ascii="Arial" w:hAnsi="Arial" w:cs="Arial"/>
          <w:color w:val="252525"/>
          <w:sz w:val="20"/>
          <w:szCs w:val="20"/>
        </w:rPr>
        <w:t xml:space="preserve">where </w:t>
      </w:r>
      <w:r>
        <w:rPr>
          <w:rFonts w:hint="eastAsia" w:ascii="Arial" w:hAnsi="Arial" w:cs="Arial"/>
          <w:color w:val="252525"/>
          <w:position w:val="-14"/>
          <w:sz w:val="20"/>
          <w:szCs w:val="20"/>
        </w:rPr>
        <w:object>
          <v:shape id="_x0000_i1055" o:spt="75" type="#_x0000_t75" style="height:19.2pt;width:16.2pt;" o:ole="t" filled="f" o:preferrelative="t" stroked="f" coordsize="21600,21600">
            <v:path/>
            <v:fill on="f" focussize="0,0"/>
            <v:stroke on="f" joinstyle="miter"/>
            <v:imagedata r:id="rId72" o:title=""/>
            <o:lock v:ext="edit" aspectratio="t"/>
            <w10:wrap type="none"/>
            <w10:anchorlock/>
          </v:shape>
          <o:OLEObject Type="Embed" ProgID="Equation.DSMT4" ShapeID="_x0000_i1055" DrawAspect="Content" ObjectID="_1468075758" r:id="rId71">
            <o:LockedField>false</o:LockedField>
          </o:OLEObject>
        </w:object>
      </w:r>
      <w:r>
        <w:rPr>
          <w:rFonts w:hint="eastAsia" w:ascii="Arial" w:hAnsi="Arial" w:cs="Arial"/>
          <w:color w:val="252525"/>
          <w:sz w:val="20"/>
          <w:szCs w:val="20"/>
        </w:rPr>
        <w:t xml:space="preserve"> represents the </w:t>
      </w:r>
      <w:r>
        <w:rPr>
          <w:rFonts w:ascii="Arial" w:hAnsi="Arial" w:cs="Arial"/>
          <w:iCs/>
          <w:sz w:val="20"/>
          <w:szCs w:val="20"/>
        </w:rPr>
        <w:t>gene expression</w:t>
      </w:r>
      <w:r>
        <w:rPr>
          <w:rFonts w:hint="eastAsia" w:ascii="Arial" w:hAnsi="Arial" w:cs="Arial"/>
          <w:iCs/>
          <w:sz w:val="20"/>
          <w:szCs w:val="20"/>
        </w:rPr>
        <w:t xml:space="preserve"> of</w:t>
      </w:r>
      <w:r>
        <w:rPr>
          <w:rFonts w:hint="eastAsia" w:ascii="Arial" w:hAnsi="Arial" w:cs="Arial"/>
          <w:i/>
          <w:sz w:val="20"/>
          <w:szCs w:val="20"/>
        </w:rPr>
        <w:t xml:space="preserve"> </w:t>
      </w:r>
      <w:r>
        <w:rPr>
          <w:rFonts w:ascii="Arial" w:hAnsi="Arial" w:cs="Arial"/>
          <w:position w:val="-12"/>
          <w:sz w:val="20"/>
          <w:szCs w:val="20"/>
        </w:rPr>
        <w:object>
          <v:shape id="_x0000_i1056" o:spt="75" type="#_x0000_t75" style="height:18pt;width:12pt;" o:ole="t" filled="f" o:preferrelative="t" stroked="f" coordsize="21600,21600">
            <v:path/>
            <v:fill on="f" focussize="0,0"/>
            <v:stroke on="f" joinstyle="miter"/>
            <v:imagedata r:id="rId60" o:title=""/>
            <o:lock v:ext="edit" aspectratio="t"/>
            <w10:wrap type="none"/>
            <w10:anchorlock/>
          </v:shape>
          <o:OLEObject Type="Embed" ProgID="Equation.DSMT4" ShapeID="_x0000_i1056" DrawAspect="Content" ObjectID="_1468075759" r:id="rId73">
            <o:LockedField>false</o:LockedField>
          </o:OLEObject>
        </w:object>
      </w:r>
      <w:r>
        <w:rPr>
          <w:rFonts w:ascii="Arial" w:hAnsi="Arial" w:cs="Arial"/>
          <w:sz w:val="20"/>
          <w:szCs w:val="20"/>
        </w:rPr>
        <w:t xml:space="preserve">, and </w:t>
      </w:r>
      <w:r>
        <w:rPr>
          <w:rFonts w:hint="eastAsia" w:ascii="Arial" w:hAnsi="Arial" w:cs="Arial"/>
          <w:color w:val="262626"/>
          <w:position w:val="-14"/>
          <w:sz w:val="20"/>
          <w:szCs w:val="20"/>
        </w:rPr>
        <w:object>
          <v:shape id="_x0000_i1057" o:spt="75" type="#_x0000_t75" style="height:19.2pt;width:16.2pt;" o:ole="t" filled="f" o:preferrelative="t" stroked="f" coordsize="21600,21600">
            <v:path/>
            <v:fill on="f" focussize="0,0"/>
            <v:stroke on="f" joinstyle="miter"/>
            <v:imagedata r:id="rId75" o:title=""/>
            <o:lock v:ext="edit" aspectratio="t"/>
            <w10:wrap type="none"/>
            <w10:anchorlock/>
          </v:shape>
          <o:OLEObject Type="Embed" ProgID="Equation.DSMT4" ShapeID="_x0000_i1057" DrawAspect="Content" ObjectID="_1468075760" r:id="rId74">
            <o:LockedField>false</o:LockedField>
          </o:OLEObject>
        </w:object>
      </w:r>
      <w:r>
        <w:rPr>
          <w:rFonts w:hint="eastAsia" w:ascii="Arial" w:hAnsi="Arial" w:cs="Arial"/>
          <w:color w:val="262626"/>
          <w:sz w:val="20"/>
          <w:szCs w:val="20"/>
        </w:rPr>
        <w:t xml:space="preserve"> is the probability density function</w:t>
      </w:r>
      <w:r>
        <w:rPr>
          <w:rFonts w:hint="eastAsia" w:ascii="Arial" w:hAnsi="Arial" w:cs="Arial"/>
          <w:sz w:val="20"/>
          <w:szCs w:val="20"/>
        </w:rPr>
        <w:t>.</w:t>
      </w:r>
      <w:r>
        <w:rPr>
          <w:rStyle w:val="11"/>
          <w:rFonts w:ascii="Arial" w:hAnsi="Arial" w:cs="Calibri"/>
          <w:color w:val="252525"/>
          <w:sz w:val="20"/>
          <w:szCs w:val="20"/>
        </w:rPr>
        <w:t xml:space="preserve"> </w:t>
      </w:r>
      <w:r>
        <w:rPr>
          <w:rFonts w:ascii="Arial" w:hAnsi="Arial" w:cs="Arial"/>
          <w:sz w:val="20"/>
          <w:szCs w:val="20"/>
        </w:rPr>
        <w:t xml:space="preserve">An illustrative process of calculating </w:t>
      </w:r>
      <w:r>
        <w:rPr>
          <w:rFonts w:ascii="Arial" w:hAnsi="Arial" w:cs="Arial"/>
          <w:color w:val="252525"/>
          <w:position w:val="-14"/>
          <w:sz w:val="20"/>
          <w:szCs w:val="20"/>
        </w:rPr>
        <w:object>
          <v:shape id="_x0000_i1058" o:spt="75" type="#_x0000_t75" style="height:19.2pt;width:40.8pt;" o:ole="t" filled="f" o:preferrelative="t" stroked="f" coordsize="21600,21600">
            <v:path/>
            <v:fill on="f" focussize="0,0"/>
            <v:stroke on="f" joinstyle="miter"/>
            <v:imagedata r:id="rId66" o:title=""/>
            <o:lock v:ext="edit" aspectratio="t"/>
            <w10:wrap type="none"/>
            <w10:anchorlock/>
          </v:shape>
          <o:OLEObject Type="Embed" ProgID="Equation.DSMT4" ShapeID="_x0000_i1058" DrawAspect="Content" ObjectID="_1468075761" r:id="rId76">
            <o:LockedField>false</o:LockedField>
          </o:OLEObject>
        </w:object>
      </w:r>
      <w:r>
        <w:rPr>
          <w:rFonts w:ascii="Arial" w:hAnsi="Arial" w:cs="Arial"/>
          <w:color w:val="252525"/>
          <w:sz w:val="20"/>
          <w:szCs w:val="20"/>
        </w:rPr>
        <w:t xml:space="preserve"> is</w:t>
      </w:r>
      <w:r>
        <w:rPr>
          <w:rFonts w:ascii="Arial" w:hAnsi="Arial" w:cs="Arial"/>
          <w:sz w:val="20"/>
          <w:szCs w:val="20"/>
        </w:rPr>
        <w:t xml:space="preserve"> shown in Fig. S3 below</w:t>
      </w:r>
      <w:r>
        <w:rPr>
          <w:rFonts w:hint="eastAsia" w:ascii="Arial" w:hAnsi="Arial" w:cs="Arial"/>
          <w:sz w:val="20"/>
          <w:szCs w:val="20"/>
        </w:rPr>
        <w:t xml:space="preserve">                                 </w:t>
      </w:r>
    </w:p>
    <w:p>
      <w:pPr>
        <w:spacing w:before="156" w:beforeLines="50" w:line="360" w:lineRule="auto"/>
        <w:jc w:val="center"/>
        <w:rPr>
          <w:rFonts w:ascii="Arial" w:hAnsi="Arial" w:cs="Arial"/>
          <w:sz w:val="20"/>
          <w:szCs w:val="20"/>
        </w:rPr>
      </w:pPr>
      <w:r>
        <w:rPr>
          <w:rFonts w:hint="eastAsia" w:ascii="Arial" w:hAnsi="Arial" w:cs="Arial"/>
          <w:sz w:val="20"/>
          <w:szCs w:val="20"/>
        </w:rPr>
        <w:drawing>
          <wp:inline distT="0" distB="0" distL="114300" distR="114300">
            <wp:extent cx="4252595" cy="2467610"/>
            <wp:effectExtent l="0" t="0" r="0" b="889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77"/>
                    <a:stretch>
                      <a:fillRect/>
                    </a:stretch>
                  </pic:blipFill>
                  <pic:spPr>
                    <a:xfrm>
                      <a:off x="0" y="0"/>
                      <a:ext cx="4252913" cy="2468188"/>
                    </a:xfrm>
                    <a:prstGeom prst="rect">
                      <a:avLst/>
                    </a:prstGeom>
                  </pic:spPr>
                </pic:pic>
              </a:graphicData>
            </a:graphic>
          </wp:inline>
        </w:drawing>
      </w:r>
    </w:p>
    <w:p>
      <w:pPr>
        <w:spacing w:before="156" w:beforeLines="50" w:after="156" w:afterLines="50" w:line="360" w:lineRule="auto"/>
        <w:rPr>
          <w:rFonts w:ascii="Arial" w:hAnsi="Arial" w:cs="Arial"/>
          <w:color w:val="000000"/>
          <w:sz w:val="18"/>
          <w:szCs w:val="18"/>
          <w:shd w:val="clear" w:color="auto" w:fill="FFFFFF"/>
        </w:rPr>
      </w:pPr>
      <w:r>
        <w:rPr>
          <w:rFonts w:ascii="Arial" w:hAnsi="Arial" w:cs="Arial"/>
          <w:sz w:val="18"/>
          <w:szCs w:val="18"/>
        </w:rPr>
        <w:t xml:space="preserve">Figure </w:t>
      </w:r>
      <w:r>
        <w:rPr>
          <w:rFonts w:hint="eastAsia" w:ascii="Arial" w:hAnsi="Arial" w:cs="Arial"/>
          <w:sz w:val="18"/>
          <w:szCs w:val="18"/>
        </w:rPr>
        <w:t xml:space="preserve">S3: </w:t>
      </w:r>
      <w:r>
        <w:rPr>
          <w:rFonts w:ascii="Arial" w:hAnsi="Arial" w:cs="Arial"/>
          <w:sz w:val="18"/>
          <w:szCs w:val="18"/>
        </w:rPr>
        <w:t>An illustrative process about the calculation of "cumulative area"</w:t>
      </w:r>
      <w:r>
        <w:rPr>
          <w:rFonts w:hint="eastAsia" w:ascii="Arial" w:hAnsi="Arial" w:cs="Arial"/>
          <w:color w:val="000000"/>
          <w:sz w:val="18"/>
          <w:szCs w:val="18"/>
          <w:shd w:val="clear" w:color="auto" w:fill="FFFFFF"/>
        </w:rPr>
        <w:t>.</w:t>
      </w:r>
    </w:p>
    <w:p>
      <w:pPr>
        <w:spacing w:before="156" w:beforeLines="50" w:after="156" w:afterLines="50" w:line="360" w:lineRule="auto"/>
        <w:rPr>
          <w:rFonts w:ascii="Times New Roman" w:hAnsi="Times New Roman" w:cs="Times New Roman"/>
          <w:sz w:val="24"/>
        </w:rPr>
      </w:pPr>
      <w:bookmarkStart w:id="2" w:name="_GoBack"/>
      <w:bookmarkEnd w:id="2"/>
    </w:p>
    <w:p>
      <w:pPr>
        <w:spacing w:before="156" w:beforeLines="50" w:after="156" w:afterLines="50" w:line="360" w:lineRule="auto"/>
        <w:rPr>
          <w:rFonts w:ascii="Times New Roman" w:hAnsi="Times New Roman" w:cs="Times New Roman"/>
          <w:sz w:val="24"/>
        </w:rPr>
      </w:pPr>
    </w:p>
    <w:p>
      <w:pPr>
        <w:numPr>
          <w:ilvl w:val="0"/>
          <w:numId w:val="1"/>
        </w:numPr>
        <w:spacing w:before="156" w:beforeLines="50" w:after="156" w:afterLines="50" w:line="360" w:lineRule="auto"/>
        <w:rPr>
          <w:rStyle w:val="10"/>
          <w:b/>
          <w:bCs/>
          <w:color w:val="262626" w:themeColor="text1" w:themeTint="D9"/>
          <w:sz w:val="24"/>
          <w:szCs w:val="24"/>
          <w14:textFill>
            <w14:solidFill>
              <w14:schemeClr w14:val="tx1">
                <w14:lumMod w14:val="85000"/>
                <w14:lumOff w14:val="15000"/>
              </w14:schemeClr>
            </w14:solidFill>
          </w14:textFill>
        </w:rPr>
      </w:pPr>
      <w:r>
        <w:rPr>
          <w:rFonts w:ascii="Arial" w:hAnsi="Arial" w:cs="Arial"/>
          <w:b/>
          <w:bCs/>
          <w:color w:val="262626" w:themeColor="text1" w:themeTint="D9"/>
          <w:sz w:val="24"/>
          <w14:textFill>
            <w14:solidFill>
              <w14:schemeClr w14:val="tx1">
                <w14:lumMod w14:val="85000"/>
                <w14:lumOff w14:val="15000"/>
              </w14:schemeClr>
            </w14:solidFill>
          </w14:textFill>
        </w:rPr>
        <w:t>V</w:t>
      </w:r>
      <w:r>
        <w:rPr>
          <w:rStyle w:val="10"/>
          <w:b/>
          <w:bCs/>
          <w:color w:val="auto"/>
          <w:sz w:val="24"/>
          <w:szCs w:val="24"/>
        </w:rPr>
        <w:t>alidat</w:t>
      </w:r>
      <w:r>
        <w:rPr>
          <w:rStyle w:val="10"/>
          <w:rFonts w:eastAsia="宋体"/>
          <w:b/>
          <w:bCs/>
          <w:color w:val="auto"/>
          <w:sz w:val="24"/>
          <w:szCs w:val="24"/>
        </w:rPr>
        <w:t>ing</w:t>
      </w:r>
      <w:r>
        <w:rPr>
          <w:rStyle w:val="10"/>
          <w:b/>
          <w:bCs/>
          <w:color w:val="auto"/>
          <w:sz w:val="24"/>
          <w:szCs w:val="24"/>
        </w:rPr>
        <w:t xml:space="preserve"> the identified critical state</w:t>
      </w:r>
      <w:r>
        <w:rPr>
          <w:rStyle w:val="10"/>
          <w:rFonts w:eastAsia="宋体"/>
          <w:b/>
          <w:bCs/>
          <w:color w:val="auto"/>
          <w:sz w:val="24"/>
          <w:szCs w:val="24"/>
        </w:rPr>
        <w:t xml:space="preserve"> by </w:t>
      </w:r>
      <w:r>
        <w:rPr>
          <w:rFonts w:ascii="Arial" w:hAnsi="Arial" w:cs="Arial"/>
          <w:b/>
          <w:bCs/>
          <w:sz w:val="24"/>
        </w:rPr>
        <w:t xml:space="preserve">The </w:t>
      </w:r>
      <w:r>
        <w:rPr>
          <w:rStyle w:val="10"/>
          <w:b/>
          <w:bCs/>
          <w:color w:val="262626" w:themeColor="text1" w:themeTint="D9"/>
          <w:sz w:val="24"/>
          <w:szCs w:val="24"/>
          <w14:textFill>
            <w14:solidFill>
              <w14:schemeClr w14:val="tx1">
                <w14:lumMod w14:val="85000"/>
                <w14:lumOff w14:val="15000"/>
              </w14:schemeClr>
            </w14:solidFill>
          </w14:textFill>
        </w:rPr>
        <w:t>Kaplan-Meier (log-rank)</w:t>
      </w:r>
      <w:r>
        <w:rPr>
          <w:rStyle w:val="10"/>
          <w:rFonts w:hint="eastAsia" w:eastAsia="宋体"/>
          <w:b/>
          <w:bCs/>
          <w:color w:val="262626" w:themeColor="text1" w:themeTint="D9"/>
          <w:sz w:val="24"/>
          <w:szCs w:val="24"/>
          <w14:textFill>
            <w14:solidFill>
              <w14:schemeClr w14:val="tx1">
                <w14:lumMod w14:val="85000"/>
                <w14:lumOff w14:val="15000"/>
              </w14:schemeClr>
            </w14:solidFill>
          </w14:textFill>
        </w:rPr>
        <w:t xml:space="preserve"> </w:t>
      </w:r>
      <w:r>
        <w:rPr>
          <w:rStyle w:val="10"/>
          <w:b/>
          <w:bCs/>
          <w:color w:val="262626" w:themeColor="text1" w:themeTint="D9"/>
          <w:sz w:val="24"/>
          <w:szCs w:val="24"/>
          <w14:textFill>
            <w14:solidFill>
              <w14:schemeClr w14:val="tx1">
                <w14:lumMod w14:val="85000"/>
                <w14:lumOff w14:val="15000"/>
              </w14:schemeClr>
            </w14:solidFill>
          </w14:textFill>
        </w:rPr>
        <w:t>survival analysis</w:t>
      </w:r>
    </w:p>
    <w:p>
      <w:pPr>
        <w:spacing w:before="156" w:beforeLines="50" w:after="156" w:afterLines="50" w:line="360" w:lineRule="auto"/>
        <w:rPr>
          <w:rStyle w:val="10"/>
          <w:b/>
          <w:bCs/>
          <w:color w:val="auto"/>
          <w:sz w:val="22"/>
          <w:szCs w:val="22"/>
        </w:rPr>
      </w:pPr>
      <w:r>
        <w:rPr>
          <w:rStyle w:val="10"/>
          <w:rFonts w:hint="eastAsia" w:eastAsia="宋体"/>
          <w:b/>
          <w:bCs/>
          <w:color w:val="262626" w:themeColor="text1" w:themeTint="D9"/>
          <w:sz w:val="22"/>
          <w:szCs w:val="22"/>
          <w14:textFill>
            <w14:solidFill>
              <w14:schemeClr w14:val="tx1">
                <w14:lumMod w14:val="85000"/>
                <w14:lumOff w14:val="15000"/>
              </w14:schemeClr>
            </w14:solidFill>
          </w14:textFill>
        </w:rPr>
        <w:t>B1</w:t>
      </w:r>
      <w:r>
        <w:rPr>
          <w:rStyle w:val="10"/>
          <w:rFonts w:eastAsia="宋体"/>
          <w:b/>
          <w:bCs/>
          <w:color w:val="262626" w:themeColor="text1" w:themeTint="D9"/>
          <w:sz w:val="22"/>
          <w:szCs w:val="22"/>
          <w14:textFill>
            <w14:solidFill>
              <w14:schemeClr w14:val="tx1">
                <w14:lumMod w14:val="85000"/>
                <w14:lumOff w14:val="15000"/>
              </w14:schemeClr>
            </w14:solidFill>
          </w14:textFill>
        </w:rPr>
        <w:t xml:space="preserve">. </w:t>
      </w:r>
      <w:r>
        <w:rPr>
          <w:rFonts w:ascii="Arial" w:hAnsi="Arial" w:cs="Arial"/>
          <w:b/>
          <w:bCs/>
          <w:sz w:val="22"/>
          <w:szCs w:val="22"/>
        </w:rPr>
        <w:t xml:space="preserve">A schematic </w:t>
      </w:r>
      <w:r>
        <w:rPr>
          <w:rFonts w:ascii="Arial" w:hAnsi="Arial" w:cs="Arial"/>
          <w:b/>
          <w:bCs/>
          <w:color w:val="262626" w:themeColor="text1" w:themeTint="D9"/>
          <w:sz w:val="22"/>
          <w:szCs w:val="22"/>
          <w14:textFill>
            <w14:solidFill>
              <w14:schemeClr w14:val="tx1">
                <w14:lumMod w14:val="85000"/>
                <w14:lumOff w14:val="15000"/>
              </w14:schemeClr>
            </w14:solidFill>
          </w14:textFill>
        </w:rPr>
        <w:t xml:space="preserve">for </w:t>
      </w:r>
      <w:r>
        <w:rPr>
          <w:rStyle w:val="10"/>
          <w:b/>
          <w:bCs/>
          <w:color w:val="auto"/>
          <w:sz w:val="22"/>
          <w:szCs w:val="22"/>
        </w:rPr>
        <w:t>validat</w:t>
      </w:r>
      <w:r>
        <w:rPr>
          <w:rStyle w:val="10"/>
          <w:rFonts w:eastAsia="宋体"/>
          <w:b/>
          <w:bCs/>
          <w:color w:val="auto"/>
          <w:sz w:val="22"/>
          <w:szCs w:val="22"/>
        </w:rPr>
        <w:t>ing</w:t>
      </w:r>
      <w:r>
        <w:rPr>
          <w:rStyle w:val="10"/>
          <w:b/>
          <w:bCs/>
          <w:color w:val="auto"/>
          <w:sz w:val="22"/>
          <w:szCs w:val="22"/>
        </w:rPr>
        <w:t xml:space="preserve"> the identified critical state</w:t>
      </w:r>
    </w:p>
    <w:p>
      <w:pPr>
        <w:snapToGrid w:val="0"/>
        <w:spacing w:before="156" w:beforeLines="50" w:after="156" w:afterLines="50" w:line="360" w:lineRule="auto"/>
        <w:rPr>
          <w:rFonts w:ascii="Times New Roman" w:hAnsi="Times New Roman" w:eastAsia="宋体" w:cs="Times New Roman"/>
          <w:b/>
          <w:bCs/>
          <w:sz w:val="20"/>
          <w:szCs w:val="20"/>
        </w:rPr>
      </w:pPr>
      <w:r>
        <w:rPr>
          <w:rStyle w:val="10"/>
          <w:color w:val="262626" w:themeColor="text1" w:themeTint="D9"/>
          <w14:textFill>
            <w14:solidFill>
              <w14:schemeClr w14:val="tx1">
                <w14:lumMod w14:val="85000"/>
                <w14:lumOff w14:val="15000"/>
              </w14:schemeClr>
            </w14:solidFill>
          </w14:textFill>
        </w:rPr>
        <w:t>To validate the identified critical state, the prognosis results respectively based on before-transition and after-transition samples were exhibited and compared</w:t>
      </w:r>
      <w:r>
        <w:rPr>
          <w:rStyle w:val="10"/>
          <w:rFonts w:hint="eastAsia" w:eastAsia="宋体"/>
          <w:color w:val="262626" w:themeColor="text1" w:themeTint="D9"/>
          <w14:textFill>
            <w14:solidFill>
              <w14:schemeClr w14:val="tx1">
                <w14:lumMod w14:val="85000"/>
                <w14:lumOff w14:val="15000"/>
              </w14:schemeClr>
            </w14:solidFill>
          </w14:textFill>
        </w:rPr>
        <w:t xml:space="preserve"> </w:t>
      </w:r>
      <w:r>
        <w:rPr>
          <w:rStyle w:val="10"/>
          <w:color w:val="262626" w:themeColor="text1" w:themeTint="D9"/>
          <w14:textFill>
            <w14:solidFill>
              <w14:schemeClr w14:val="tx1">
                <w14:lumMod w14:val="85000"/>
                <w14:lumOff w14:val="15000"/>
              </w14:schemeClr>
            </w14:solidFill>
          </w14:textFill>
        </w:rPr>
        <w:t>through Kaplan-Meier (log-rank) survival analysis</w:t>
      </w:r>
      <w:r>
        <w:rPr>
          <w:rStyle w:val="10"/>
          <w:rFonts w:hint="eastAsia" w:eastAsia="宋体"/>
          <w:color w:val="262626" w:themeColor="text1" w:themeTint="D9"/>
          <w14:textFill>
            <w14:solidFill>
              <w14:schemeClr w14:val="tx1">
                <w14:lumMod w14:val="85000"/>
                <w14:lumOff w14:val="15000"/>
              </w14:schemeClr>
            </w14:solidFill>
          </w14:textFill>
        </w:rPr>
        <w:t xml:space="preserve">. For </w:t>
      </w:r>
      <w:r>
        <w:rPr>
          <w:rStyle w:val="10"/>
          <w:rFonts w:eastAsia="宋体"/>
          <w:color w:val="262626" w:themeColor="text1" w:themeTint="D9"/>
          <w14:textFill>
            <w14:solidFill>
              <w14:schemeClr w14:val="tx1">
                <w14:lumMod w14:val="85000"/>
                <w14:lumOff w14:val="15000"/>
              </w14:schemeClr>
            </w14:solidFill>
          </w14:textFill>
        </w:rPr>
        <w:t xml:space="preserve">instance, the following four steps (survival test 1, survival test 2, survival test 3 and survival test 4) were carried out to </w:t>
      </w:r>
      <w:r>
        <w:rPr>
          <w:rStyle w:val="10"/>
          <w:color w:val="262626" w:themeColor="text1" w:themeTint="D9"/>
          <w14:textFill>
            <w14:solidFill>
              <w14:schemeClr w14:val="tx1">
                <w14:lumMod w14:val="85000"/>
                <w14:lumOff w14:val="15000"/>
              </w14:schemeClr>
            </w14:solidFill>
          </w14:textFill>
        </w:rPr>
        <w:t>valida</w:t>
      </w:r>
      <w:r>
        <w:rPr>
          <w:rStyle w:val="10"/>
          <w:rFonts w:hint="eastAsia" w:eastAsia="宋体"/>
          <w:color w:val="262626" w:themeColor="text1" w:themeTint="D9"/>
          <w14:textFill>
            <w14:solidFill>
              <w14:schemeClr w14:val="tx1">
                <w14:lumMod w14:val="85000"/>
                <w14:lumOff w14:val="15000"/>
              </w14:schemeClr>
            </w14:solidFill>
          </w14:textFill>
        </w:rPr>
        <w:t xml:space="preserve">te </w:t>
      </w:r>
      <w:r>
        <w:rPr>
          <w:rStyle w:val="10"/>
          <w:color w:val="262626" w:themeColor="text1" w:themeTint="D9"/>
          <w14:textFill>
            <w14:solidFill>
              <w14:schemeClr w14:val="tx1">
                <w14:lumMod w14:val="85000"/>
                <w14:lumOff w14:val="15000"/>
              </w14:schemeClr>
            </w14:solidFill>
          </w14:textFill>
        </w:rPr>
        <w:t>a critical transition of</w:t>
      </w:r>
      <w:r>
        <w:rPr>
          <w:rStyle w:val="10"/>
          <w:rFonts w:hint="eastAsia" w:eastAsia="宋体"/>
          <w:color w:val="262626" w:themeColor="text1" w:themeTint="D9"/>
          <w14:textFill>
            <w14:solidFill>
              <w14:schemeClr w14:val="tx1">
                <w14:lumMod w14:val="85000"/>
                <w14:lumOff w14:val="15000"/>
              </w14:schemeClr>
            </w14:solidFill>
          </w14:textFill>
        </w:rPr>
        <w:t xml:space="preserve"> tumor </w:t>
      </w:r>
      <w:r>
        <w:rPr>
          <w:rFonts w:ascii="Arial" w:hAnsi="Arial" w:cs="Arial"/>
          <w:sz w:val="20"/>
          <w:szCs w:val="20"/>
        </w:rPr>
        <w:t>disease</w:t>
      </w:r>
      <w:r>
        <w:rPr>
          <w:rFonts w:hint="eastAsia" w:ascii="Arial" w:hAnsi="Arial" w:cs="Arial"/>
          <w:sz w:val="20"/>
          <w:szCs w:val="20"/>
        </w:rPr>
        <w:t xml:space="preserve"> at stage IIA. </w:t>
      </w:r>
      <w:r>
        <w:rPr>
          <w:rStyle w:val="10"/>
          <w:color w:val="262626" w:themeColor="text1" w:themeTint="D9"/>
          <w14:textFill>
            <w14:solidFill>
              <w14:schemeClr w14:val="tx1">
                <w14:lumMod w14:val="85000"/>
                <w14:lumOff w14:val="15000"/>
              </w14:schemeClr>
            </w14:solidFill>
          </w14:textFill>
        </w:rPr>
        <w:t>Specifically, the survival time of before-transition samples</w:t>
      </w:r>
      <w:r>
        <w:rPr>
          <w:rStyle w:val="10"/>
          <w:rFonts w:hint="eastAsia" w:eastAsia="宋体"/>
          <w:color w:val="262626" w:themeColor="text1" w:themeTint="D9"/>
          <w14:textFill>
            <w14:solidFill>
              <w14:schemeClr w14:val="tx1">
                <w14:lumMod w14:val="85000"/>
                <w14:lumOff w14:val="15000"/>
              </w14:schemeClr>
            </w14:solidFill>
          </w14:textFill>
        </w:rPr>
        <w:t xml:space="preserve"> </w:t>
      </w:r>
      <w:r>
        <w:rPr>
          <w:rStyle w:val="10"/>
          <w:color w:val="262626" w:themeColor="text1" w:themeTint="D9"/>
          <w14:textFill>
            <w14:solidFill>
              <w14:schemeClr w14:val="tx1">
                <w14:lumMod w14:val="85000"/>
                <w14:lumOff w14:val="15000"/>
              </w14:schemeClr>
            </w14:solidFill>
          </w14:textFill>
        </w:rPr>
        <w:t>is much longer than that of after-transition samples</w:t>
      </w:r>
      <w:r>
        <w:rPr>
          <w:rStyle w:val="10"/>
          <w:rFonts w:hint="eastAsia" w:eastAsia="宋体"/>
          <w:color w:val="262626" w:themeColor="text1" w:themeTint="D9"/>
          <w14:textFill>
            <w14:solidFill>
              <w14:schemeClr w14:val="tx1">
                <w14:lumMod w14:val="85000"/>
                <w14:lumOff w14:val="15000"/>
              </w14:schemeClr>
            </w14:solidFill>
          </w14:textFill>
        </w:rPr>
        <w:t>.</w:t>
      </w:r>
      <w:r>
        <w:rPr>
          <w:rStyle w:val="10"/>
          <w:color w:val="262626" w:themeColor="text1" w:themeTint="D9"/>
          <w14:textFill>
            <w14:solidFill>
              <w14:schemeClr w14:val="tx1">
                <w14:lumMod w14:val="85000"/>
                <w14:lumOff w14:val="15000"/>
              </w14:schemeClr>
            </w14:solidFill>
          </w14:textFill>
        </w:rPr>
        <w:t xml:space="preserve"> However, before and after any other stages, there was no significant difference</w:t>
      </w:r>
      <w:r>
        <w:rPr>
          <w:rStyle w:val="10"/>
          <w:rFonts w:hint="eastAsia" w:eastAsia="宋体"/>
          <w:color w:val="262626" w:themeColor="text1" w:themeTint="D9"/>
          <w14:textFill>
            <w14:solidFill>
              <w14:schemeClr w14:val="tx1">
                <w14:lumMod w14:val="85000"/>
                <w14:lumOff w14:val="15000"/>
              </w14:schemeClr>
            </w14:solidFill>
          </w14:textFill>
        </w:rPr>
        <w:t xml:space="preserve"> in </w:t>
      </w:r>
      <w:r>
        <w:rPr>
          <w:rStyle w:val="10"/>
          <w:color w:val="262626" w:themeColor="text1" w:themeTint="D9"/>
          <w14:textFill>
            <w14:solidFill>
              <w14:schemeClr w14:val="tx1">
                <w14:lumMod w14:val="85000"/>
                <w14:lumOff w14:val="15000"/>
              </w14:schemeClr>
            </w14:solidFill>
          </w14:textFill>
        </w:rPr>
        <w:t>the survival time</w:t>
      </w:r>
      <w:r>
        <w:rPr>
          <w:rStyle w:val="10"/>
          <w:rFonts w:hint="eastAsia" w:eastAsia="宋体"/>
          <w:color w:val="262626" w:themeColor="text1" w:themeTint="D9"/>
          <w14:textFill>
            <w14:solidFill>
              <w14:schemeClr w14:val="tx1">
                <w14:lumMod w14:val="85000"/>
                <w14:lumOff w14:val="15000"/>
              </w14:schemeClr>
            </w14:solidFill>
          </w14:textFill>
        </w:rPr>
        <w:t>.</w:t>
      </w:r>
      <w:r>
        <w:rPr>
          <w:rStyle w:val="10"/>
          <w:rFonts w:eastAsia="宋体"/>
          <w:color w:val="262626" w:themeColor="text1" w:themeTint="D9"/>
          <w14:textFill>
            <w14:solidFill>
              <w14:schemeClr w14:val="tx1">
                <w14:lumMod w14:val="85000"/>
                <w14:lumOff w14:val="15000"/>
              </w14:schemeClr>
            </w14:solidFill>
          </w14:textFill>
        </w:rPr>
        <w:t xml:space="preserve"> A schematic illustration for validating the identified critical state is shown in</w:t>
      </w:r>
      <w:r>
        <w:rPr>
          <w:rStyle w:val="10"/>
          <w:rFonts w:hint="eastAsia" w:eastAsia="宋体"/>
          <w:color w:val="262626" w:themeColor="text1" w:themeTint="D9"/>
          <w14:textFill>
            <w14:solidFill>
              <w14:schemeClr w14:val="tx1">
                <w14:lumMod w14:val="85000"/>
                <w14:lumOff w14:val="15000"/>
              </w14:schemeClr>
            </w14:solidFill>
          </w14:textFill>
        </w:rPr>
        <w:t xml:space="preserve"> </w:t>
      </w:r>
      <w:r>
        <w:rPr>
          <w:rStyle w:val="10"/>
          <w:color w:val="262626" w:themeColor="text1" w:themeTint="D9"/>
          <w14:textFill>
            <w14:solidFill>
              <w14:schemeClr w14:val="tx1">
                <w14:lumMod w14:val="85000"/>
                <w14:lumOff w14:val="15000"/>
              </w14:schemeClr>
            </w14:solidFill>
          </w14:textFill>
        </w:rPr>
        <w:t>Fig</w:t>
      </w:r>
      <w:r>
        <w:rPr>
          <w:rStyle w:val="10"/>
          <w:rFonts w:eastAsia="宋体"/>
          <w:color w:val="262626" w:themeColor="text1" w:themeTint="D9"/>
          <w14:textFill>
            <w14:solidFill>
              <w14:schemeClr w14:val="tx1">
                <w14:lumMod w14:val="85000"/>
                <w14:lumOff w14:val="15000"/>
              </w14:schemeClr>
            </w14:solidFill>
          </w14:textFill>
        </w:rPr>
        <w:t>ure</w:t>
      </w:r>
      <w:r>
        <w:rPr>
          <w:rStyle w:val="10"/>
          <w:color w:val="262626" w:themeColor="text1" w:themeTint="D9"/>
          <w14:textFill>
            <w14:solidFill>
              <w14:schemeClr w14:val="tx1">
                <w14:lumMod w14:val="85000"/>
                <w14:lumOff w14:val="15000"/>
              </w14:schemeClr>
            </w14:solidFill>
          </w14:textFill>
        </w:rPr>
        <w:t xml:space="preserve"> S</w:t>
      </w:r>
      <w:r>
        <w:rPr>
          <w:rStyle w:val="10"/>
          <w:rFonts w:hint="eastAsia" w:eastAsia="宋体"/>
          <w:color w:val="262626" w:themeColor="text1" w:themeTint="D9"/>
          <w14:textFill>
            <w14:solidFill>
              <w14:schemeClr w14:val="tx1">
                <w14:lumMod w14:val="85000"/>
                <w14:lumOff w14:val="15000"/>
              </w14:schemeClr>
            </w14:solidFill>
          </w14:textFill>
        </w:rPr>
        <w:t>4</w:t>
      </w:r>
      <w:r>
        <w:rPr>
          <w:rStyle w:val="10"/>
          <w:rFonts w:eastAsia="宋体"/>
          <w:color w:val="262626" w:themeColor="text1" w:themeTint="D9"/>
          <w14:textFill>
            <w14:solidFill>
              <w14:schemeClr w14:val="tx1">
                <w14:lumMod w14:val="85000"/>
                <w14:lumOff w14:val="15000"/>
              </w14:schemeClr>
            </w14:solidFill>
          </w14:textFill>
        </w:rPr>
        <w:t>.</w:t>
      </w:r>
    </w:p>
    <w:p>
      <w:pPr>
        <w:spacing w:before="156" w:beforeLines="50" w:after="156" w:afterLines="50" w:line="360" w:lineRule="auto"/>
        <w:rPr>
          <w:rStyle w:val="10"/>
          <w:rFonts w:eastAsia="宋体"/>
          <w:b/>
          <w:bCs/>
          <w:color w:val="auto"/>
          <w:sz w:val="22"/>
          <w:szCs w:val="22"/>
        </w:rPr>
      </w:pPr>
      <w:r>
        <w:rPr>
          <w:rStyle w:val="10"/>
          <w:rFonts w:hint="eastAsia" w:eastAsia="宋体"/>
          <w:b/>
          <w:bCs/>
          <w:color w:val="auto"/>
          <w:sz w:val="22"/>
          <w:szCs w:val="22"/>
        </w:rPr>
        <w:drawing>
          <wp:inline distT="0" distB="0" distL="114300" distR="114300">
            <wp:extent cx="4917440" cy="2406650"/>
            <wp:effectExtent l="0" t="0" r="0" b="8890"/>
            <wp:docPr id="2" name="图片 2" descr="C:\Users\Miller\Desktop\QQ图片20191229105503.pngQQ图片2019122910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Miller\Desktop\QQ图片20191229105503.pngQQ图片20191229105503"/>
                    <pic:cNvPicPr>
                      <a:picLocks noChangeAspect="1"/>
                    </pic:cNvPicPr>
                  </pic:nvPicPr>
                  <pic:blipFill>
                    <a:blip r:embed="rId78"/>
                    <a:srcRect/>
                    <a:stretch>
                      <a:fillRect/>
                    </a:stretch>
                  </pic:blipFill>
                  <pic:spPr>
                    <a:xfrm>
                      <a:off x="0" y="0"/>
                      <a:ext cx="4917440" cy="2407138"/>
                    </a:xfrm>
                    <a:prstGeom prst="rect">
                      <a:avLst/>
                    </a:prstGeom>
                  </pic:spPr>
                </pic:pic>
              </a:graphicData>
            </a:graphic>
          </wp:inline>
        </w:drawing>
      </w:r>
    </w:p>
    <w:p>
      <w:pPr>
        <w:spacing w:before="156" w:beforeLines="50" w:after="156" w:afterLines="50" w:line="360" w:lineRule="auto"/>
        <w:rPr>
          <w:rStyle w:val="10"/>
          <w:rFonts w:eastAsia="宋体"/>
          <w:color w:val="auto"/>
          <w:sz w:val="18"/>
          <w:szCs w:val="18"/>
        </w:rPr>
      </w:pPr>
      <w:r>
        <w:rPr>
          <w:rStyle w:val="10"/>
          <w:color w:val="262626" w:themeColor="text1" w:themeTint="D9"/>
          <w:sz w:val="18"/>
          <w:szCs w:val="18"/>
          <w14:textFill>
            <w14:solidFill>
              <w14:schemeClr w14:val="tx1">
                <w14:lumMod w14:val="85000"/>
                <w14:lumOff w14:val="15000"/>
              </w14:schemeClr>
            </w14:solidFill>
          </w14:textFill>
        </w:rPr>
        <w:t>Fig</w:t>
      </w:r>
      <w:r>
        <w:rPr>
          <w:rStyle w:val="10"/>
          <w:rFonts w:eastAsia="宋体"/>
          <w:color w:val="262626" w:themeColor="text1" w:themeTint="D9"/>
          <w:sz w:val="18"/>
          <w:szCs w:val="18"/>
          <w14:textFill>
            <w14:solidFill>
              <w14:schemeClr w14:val="tx1">
                <w14:lumMod w14:val="85000"/>
                <w14:lumOff w14:val="15000"/>
              </w14:schemeClr>
            </w14:solidFill>
          </w14:textFill>
        </w:rPr>
        <w:t>ure</w:t>
      </w:r>
      <w:r>
        <w:rPr>
          <w:rStyle w:val="10"/>
          <w:color w:val="262626" w:themeColor="text1" w:themeTint="D9"/>
          <w:sz w:val="18"/>
          <w:szCs w:val="18"/>
          <w14:textFill>
            <w14:solidFill>
              <w14:schemeClr w14:val="tx1">
                <w14:lumMod w14:val="85000"/>
                <w14:lumOff w14:val="15000"/>
              </w14:schemeClr>
            </w14:solidFill>
          </w14:textFill>
        </w:rPr>
        <w:t xml:space="preserve"> S</w:t>
      </w:r>
      <w:r>
        <w:rPr>
          <w:rStyle w:val="10"/>
          <w:rFonts w:hint="eastAsia" w:eastAsia="宋体"/>
          <w:color w:val="262626" w:themeColor="text1" w:themeTint="D9"/>
          <w:sz w:val="18"/>
          <w:szCs w:val="18"/>
          <w14:textFill>
            <w14:solidFill>
              <w14:schemeClr w14:val="tx1">
                <w14:lumMod w14:val="85000"/>
                <w14:lumOff w14:val="15000"/>
              </w14:schemeClr>
            </w14:solidFill>
          </w14:textFill>
        </w:rPr>
        <w:t>4</w:t>
      </w:r>
      <w:r>
        <w:rPr>
          <w:rStyle w:val="10"/>
          <w:rFonts w:eastAsia="宋体"/>
          <w:color w:val="262626" w:themeColor="text1" w:themeTint="D9"/>
          <w:sz w:val="18"/>
          <w:szCs w:val="18"/>
          <w14:textFill>
            <w14:solidFill>
              <w14:schemeClr w14:val="tx1">
                <w14:lumMod w14:val="85000"/>
                <w14:lumOff w14:val="15000"/>
              </w14:schemeClr>
            </w14:solidFill>
          </w14:textFill>
        </w:rPr>
        <w:t>:</w:t>
      </w:r>
      <w:r>
        <w:rPr>
          <w:rFonts w:ascii="Arial" w:hAnsi="Arial" w:cs="Arial"/>
          <w:color w:val="262626" w:themeColor="text1" w:themeTint="D9"/>
          <w:sz w:val="18"/>
          <w:szCs w:val="18"/>
          <w14:textFill>
            <w14:solidFill>
              <w14:schemeClr w14:val="tx1">
                <w14:lumMod w14:val="85000"/>
                <w14:lumOff w14:val="15000"/>
              </w14:schemeClr>
            </w14:solidFill>
          </w14:textFill>
        </w:rPr>
        <w:t xml:space="preserve"> </w:t>
      </w:r>
      <w:bookmarkStart w:id="1" w:name="_Hlk28510621"/>
      <w:r>
        <w:rPr>
          <w:rFonts w:ascii="Arial" w:hAnsi="Arial" w:cs="Arial"/>
          <w:sz w:val="18"/>
          <w:szCs w:val="18"/>
        </w:rPr>
        <w:t xml:space="preserve">A schematic illustration </w:t>
      </w:r>
      <w:r>
        <w:rPr>
          <w:rFonts w:ascii="Arial" w:hAnsi="Arial" w:cs="Arial"/>
          <w:color w:val="262626" w:themeColor="text1" w:themeTint="D9"/>
          <w:sz w:val="18"/>
          <w:szCs w:val="18"/>
          <w14:textFill>
            <w14:solidFill>
              <w14:schemeClr w14:val="tx1">
                <w14:lumMod w14:val="85000"/>
                <w14:lumOff w14:val="15000"/>
              </w14:schemeClr>
            </w14:solidFill>
          </w14:textFill>
        </w:rPr>
        <w:t xml:space="preserve">for </w:t>
      </w:r>
      <w:r>
        <w:rPr>
          <w:rStyle w:val="10"/>
          <w:color w:val="auto"/>
          <w:sz w:val="18"/>
          <w:szCs w:val="18"/>
        </w:rPr>
        <w:t>validat</w:t>
      </w:r>
      <w:r>
        <w:rPr>
          <w:rStyle w:val="10"/>
          <w:rFonts w:eastAsia="宋体"/>
          <w:color w:val="auto"/>
          <w:sz w:val="18"/>
          <w:szCs w:val="18"/>
        </w:rPr>
        <w:t>ing</w:t>
      </w:r>
      <w:r>
        <w:rPr>
          <w:rStyle w:val="10"/>
          <w:color w:val="auto"/>
          <w:sz w:val="18"/>
          <w:szCs w:val="18"/>
        </w:rPr>
        <w:t xml:space="preserve"> the identified critical state</w:t>
      </w:r>
      <w:bookmarkEnd w:id="1"/>
      <w:r>
        <w:rPr>
          <w:rStyle w:val="10"/>
          <w:rFonts w:eastAsia="宋体"/>
          <w:color w:val="auto"/>
          <w:sz w:val="18"/>
          <w:szCs w:val="18"/>
        </w:rPr>
        <w:t>.</w:t>
      </w:r>
    </w:p>
    <w:p>
      <w:pPr>
        <w:spacing w:before="156" w:beforeLines="50" w:after="156" w:afterLines="50" w:line="360" w:lineRule="auto"/>
        <w:rPr>
          <w:rFonts w:ascii="Times New Roman" w:hAnsi="Times New Roman" w:cs="Times New Roman"/>
          <w:sz w:val="24"/>
        </w:rPr>
      </w:pPr>
    </w:p>
    <w:p>
      <w:pPr>
        <w:spacing w:before="156" w:beforeLines="50" w:after="156" w:afterLines="50" w:line="360" w:lineRule="auto"/>
        <w:rPr>
          <w:rFonts w:ascii="Times New Roman" w:hAnsi="Times New Roman" w:cs="Times New Roman"/>
          <w:sz w:val="24"/>
        </w:rPr>
      </w:pPr>
    </w:p>
    <w:p>
      <w:pPr>
        <w:spacing w:before="156" w:beforeLines="50" w:after="156" w:afterLines="50" w:line="360" w:lineRule="auto"/>
        <w:rPr>
          <w:rStyle w:val="10"/>
          <w:rFonts w:eastAsia="宋体"/>
          <w:b/>
          <w:bCs/>
          <w:color w:val="auto"/>
          <w:sz w:val="22"/>
          <w:szCs w:val="22"/>
        </w:rPr>
      </w:pPr>
      <w:r>
        <w:rPr>
          <w:rStyle w:val="10"/>
          <w:rFonts w:eastAsia="宋体"/>
          <w:b/>
          <w:bCs/>
          <w:color w:val="262626" w:themeColor="text1" w:themeTint="D9"/>
          <w:sz w:val="22"/>
          <w:szCs w:val="22"/>
          <w14:textFill>
            <w14:solidFill>
              <w14:schemeClr w14:val="tx1">
                <w14:lumMod w14:val="85000"/>
                <w14:lumOff w14:val="15000"/>
              </w14:schemeClr>
            </w14:solidFill>
          </w14:textFill>
        </w:rPr>
        <w:t>B</w:t>
      </w:r>
      <w:r>
        <w:rPr>
          <w:rStyle w:val="10"/>
          <w:rFonts w:hint="eastAsia" w:eastAsia="宋体"/>
          <w:b/>
          <w:bCs/>
          <w:color w:val="262626" w:themeColor="text1" w:themeTint="D9"/>
          <w:sz w:val="22"/>
          <w:szCs w:val="22"/>
          <w14:textFill>
            <w14:solidFill>
              <w14:schemeClr w14:val="tx1">
                <w14:lumMod w14:val="85000"/>
                <w14:lumOff w14:val="15000"/>
              </w14:schemeClr>
            </w14:solidFill>
          </w14:textFill>
        </w:rPr>
        <w:t>2</w:t>
      </w:r>
      <w:r>
        <w:rPr>
          <w:rStyle w:val="10"/>
          <w:rFonts w:eastAsia="宋体"/>
          <w:b/>
          <w:bCs/>
          <w:color w:val="262626" w:themeColor="text1" w:themeTint="D9"/>
          <w:sz w:val="22"/>
          <w:szCs w:val="22"/>
          <w14:textFill>
            <w14:solidFill>
              <w14:schemeClr w14:val="tx1">
                <w14:lumMod w14:val="85000"/>
                <w14:lumOff w14:val="15000"/>
              </w14:schemeClr>
            </w14:solidFill>
          </w14:textFill>
        </w:rPr>
        <w:t xml:space="preserve">. </w:t>
      </w:r>
      <w:r>
        <w:rPr>
          <w:rStyle w:val="10"/>
          <w:rFonts w:hint="eastAsia" w:eastAsia="宋体"/>
          <w:b/>
          <w:bCs/>
          <w:color w:val="262626" w:themeColor="text1" w:themeTint="D9"/>
          <w:sz w:val="22"/>
          <w:szCs w:val="22"/>
          <w14:textFill>
            <w14:solidFill>
              <w14:schemeClr w14:val="tx1">
                <w14:lumMod w14:val="85000"/>
                <w14:lumOff w14:val="15000"/>
              </w14:schemeClr>
            </w14:solidFill>
          </w14:textFill>
        </w:rPr>
        <w:t>V</w:t>
      </w:r>
      <w:r>
        <w:rPr>
          <w:rStyle w:val="10"/>
          <w:b/>
          <w:bCs/>
          <w:color w:val="auto"/>
          <w:sz w:val="22"/>
          <w:szCs w:val="22"/>
        </w:rPr>
        <w:t>alidat</w:t>
      </w:r>
      <w:r>
        <w:rPr>
          <w:rStyle w:val="10"/>
          <w:rFonts w:eastAsia="宋体"/>
          <w:b/>
          <w:bCs/>
          <w:color w:val="auto"/>
          <w:sz w:val="22"/>
          <w:szCs w:val="22"/>
        </w:rPr>
        <w:t>ing</w:t>
      </w:r>
      <w:r>
        <w:rPr>
          <w:rStyle w:val="10"/>
          <w:b/>
          <w:bCs/>
          <w:color w:val="auto"/>
          <w:sz w:val="22"/>
          <w:szCs w:val="22"/>
        </w:rPr>
        <w:t xml:space="preserve"> the identified critical state</w:t>
      </w:r>
      <w:r>
        <w:rPr>
          <w:rStyle w:val="10"/>
          <w:rFonts w:hint="eastAsia" w:eastAsia="宋体"/>
          <w:b/>
          <w:bCs/>
          <w:color w:val="auto"/>
          <w:sz w:val="22"/>
          <w:szCs w:val="22"/>
        </w:rPr>
        <w:t xml:space="preserve"> for five tumor disease</w:t>
      </w:r>
    </w:p>
    <w:p>
      <w:pPr>
        <w:pStyle w:val="12"/>
        <w:snapToGrid w:val="0"/>
        <w:spacing w:before="156" w:beforeLines="50" w:after="156" w:afterLines="50" w:line="360" w:lineRule="auto"/>
        <w:jc w:val="both"/>
        <w:rPr>
          <w:rStyle w:val="10"/>
          <w:color w:val="262626" w:themeColor="text1" w:themeTint="D9"/>
          <w14:textFill>
            <w14:solidFill>
              <w14:schemeClr w14:val="tx1">
                <w14:lumMod w14:val="85000"/>
                <w14:lumOff w14:val="15000"/>
              </w14:schemeClr>
            </w14:solidFill>
          </w14:textFill>
        </w:rPr>
      </w:pPr>
      <w:r>
        <w:rPr>
          <w:rStyle w:val="10"/>
          <w:rFonts w:hint="eastAsia" w:eastAsia="宋体"/>
          <w:color w:val="262626" w:themeColor="text1" w:themeTint="D9"/>
          <w14:textFill>
            <w14:solidFill>
              <w14:schemeClr w14:val="tx1">
                <w14:lumMod w14:val="85000"/>
                <w14:lumOff w14:val="15000"/>
              </w14:schemeClr>
            </w14:solidFill>
          </w14:textFill>
        </w:rPr>
        <w:t xml:space="preserve">In this study, our </w:t>
      </w:r>
      <w:r>
        <w:rPr>
          <w:rStyle w:val="10"/>
          <w:color w:val="262626" w:themeColor="text1" w:themeTint="D9"/>
          <w14:textFill>
            <w14:solidFill>
              <w14:schemeClr w14:val="tx1">
                <w14:lumMod w14:val="85000"/>
                <w14:lumOff w14:val="15000"/>
              </w14:schemeClr>
            </w14:solidFill>
          </w14:textFill>
        </w:rPr>
        <w:t xml:space="preserve">method is applied to five tumor datasets, </w:t>
      </w:r>
      <w:r>
        <w:rPr>
          <w:rFonts w:ascii="Arial" w:hAnsi="Arial" w:eastAsia="MyriadPro-Light" w:cs="Arial"/>
          <w:color w:val="262626" w:themeColor="text1" w:themeTint="D9"/>
          <w:sz w:val="20"/>
          <w:szCs w:val="20"/>
          <w14:textFill>
            <w14:solidFill>
              <w14:schemeClr w14:val="tx1">
                <w14:lumMod w14:val="85000"/>
                <w14:lumOff w14:val="15000"/>
              </w14:schemeClr>
            </w14:solidFill>
          </w14:textFill>
        </w:rPr>
        <w:t xml:space="preserve">lung squamous cell carcinoma (LUSC), lung adenocarcinoma (LUAD), stomach adenocarcinoma (STAD), thyroid carcinoma (THCA), colon adenocarcinoma (COAD) </w:t>
      </w:r>
      <w:r>
        <w:rPr>
          <w:rStyle w:val="10"/>
          <w:color w:val="262626" w:themeColor="text1" w:themeTint="D9"/>
          <w14:textFill>
            <w14:solidFill>
              <w14:schemeClr w14:val="tx1">
                <w14:lumMod w14:val="85000"/>
                <w14:lumOff w14:val="15000"/>
              </w14:schemeClr>
            </w14:solidFill>
          </w14:textFill>
        </w:rPr>
        <w:t xml:space="preserve">from </w:t>
      </w:r>
      <w:r>
        <w:rPr>
          <w:rFonts w:ascii="Arial" w:hAnsi="Arial" w:eastAsia="MyriadPro-Light" w:cs="Arial"/>
          <w:color w:val="262626" w:themeColor="text1" w:themeTint="D9"/>
          <w:sz w:val="20"/>
          <w:szCs w:val="20"/>
          <w14:textFill>
            <w14:solidFill>
              <w14:schemeClr w14:val="tx1">
                <w14:lumMod w14:val="85000"/>
                <w14:lumOff w14:val="15000"/>
              </w14:schemeClr>
            </w14:solidFill>
          </w14:textFill>
        </w:rPr>
        <w:t>the cancer genome atlas (TCGA)</w:t>
      </w:r>
      <w:r>
        <w:rPr>
          <w:rFonts w:hint="eastAsia" w:ascii="Arial" w:hAnsi="Arial" w:eastAsia="MyriadPro-Light" w:cs="Arial"/>
          <w:color w:val="262626" w:themeColor="text1" w:themeTint="D9"/>
          <w:sz w:val="20"/>
          <w:szCs w:val="20"/>
          <w14:textFill>
            <w14:solidFill>
              <w14:schemeClr w14:val="tx1">
                <w14:lumMod w14:val="85000"/>
                <w14:lumOff w14:val="15000"/>
              </w14:schemeClr>
            </w14:solidFill>
          </w14:textFill>
        </w:rPr>
        <w:t xml:space="preserve">. </w:t>
      </w:r>
      <w:r>
        <w:rPr>
          <w:rStyle w:val="11"/>
          <w:rFonts w:ascii="Arial" w:hAnsi="Arial" w:cs="Arial"/>
          <w:color w:val="auto"/>
          <w:sz w:val="20"/>
          <w:szCs w:val="20"/>
        </w:rPr>
        <w:t>There are three criteria for the dataset selection: 1, they are all five stages datasets, which indicate the state of the cancer; 2, both tumor and tumor-adjacent samples are available in these dataset</w:t>
      </w:r>
      <w:r>
        <w:rPr>
          <w:rStyle w:val="11"/>
          <w:rFonts w:hint="eastAsia" w:ascii="Arial" w:hAnsi="Arial" w:cs="Arial"/>
          <w:color w:val="auto"/>
          <w:sz w:val="20"/>
          <w:szCs w:val="20"/>
        </w:rPr>
        <w:t>s</w:t>
      </w:r>
      <w:r>
        <w:rPr>
          <w:rStyle w:val="11"/>
          <w:rFonts w:ascii="Arial" w:hAnsi="Arial" w:cs="Arial"/>
          <w:color w:val="auto"/>
          <w:sz w:val="20"/>
          <w:szCs w:val="20"/>
        </w:rPr>
        <w:t>; 3, clinical information is available in all these dataset</w:t>
      </w:r>
      <w:r>
        <w:rPr>
          <w:rStyle w:val="11"/>
          <w:rFonts w:hint="eastAsia" w:ascii="Arial" w:hAnsi="Arial" w:cs="Arial"/>
          <w:color w:val="auto"/>
          <w:sz w:val="20"/>
          <w:szCs w:val="20"/>
        </w:rPr>
        <w:t>s</w:t>
      </w:r>
      <w:r>
        <w:rPr>
          <w:rStyle w:val="11"/>
          <w:rFonts w:ascii="Arial" w:hAnsi="Arial" w:cs="Arial"/>
          <w:color w:val="auto"/>
          <w:sz w:val="20"/>
          <w:szCs w:val="20"/>
        </w:rPr>
        <w:t xml:space="preserve"> so as to carry out the survival analysis.</w:t>
      </w:r>
      <w:r>
        <w:rPr>
          <w:rStyle w:val="11"/>
          <w:rFonts w:hint="eastAsia" w:ascii="Arial" w:hAnsi="Arial" w:cs="Arial"/>
          <w:color w:val="auto"/>
          <w:sz w:val="20"/>
          <w:szCs w:val="20"/>
        </w:rPr>
        <w:t xml:space="preserve"> </w:t>
      </w:r>
      <w:r>
        <w:rPr>
          <w:rFonts w:hint="eastAsia" w:ascii="Arial" w:hAnsi="Arial" w:eastAsia="MyriadPro-Light" w:cs="Arial"/>
          <w:color w:val="262626" w:themeColor="text1" w:themeTint="D9"/>
          <w:sz w:val="20"/>
          <w:szCs w:val="20"/>
          <w14:textFill>
            <w14:solidFill>
              <w14:schemeClr w14:val="tx1">
                <w14:lumMod w14:val="85000"/>
                <w14:lumOff w14:val="15000"/>
              </w14:schemeClr>
            </w14:solidFill>
          </w14:textFill>
        </w:rPr>
        <w:t xml:space="preserve">Each tumor dataset was </w:t>
      </w:r>
      <w:r>
        <w:rPr>
          <w:rStyle w:val="10"/>
          <w:color w:val="262626" w:themeColor="text1" w:themeTint="D9"/>
          <w14:textFill>
            <w14:solidFill>
              <w14:schemeClr w14:val="tx1">
                <w14:lumMod w14:val="85000"/>
                <w14:lumOff w14:val="15000"/>
              </w14:schemeClr>
            </w14:solidFill>
          </w14:textFill>
        </w:rPr>
        <w:t>composed by tumor and tumor-adjacent samples. The tumor samples were grouped into different cancer stages according to corresponding clinical information of TCGA</w:t>
      </w:r>
      <w:r>
        <w:rPr>
          <w:rStyle w:val="10"/>
          <w:rFonts w:hint="eastAsia" w:eastAsia="宋体"/>
          <w:color w:val="262626" w:themeColor="text1" w:themeTint="D9"/>
          <w14:textFill>
            <w14:solidFill>
              <w14:schemeClr w14:val="tx1">
                <w14:lumMod w14:val="85000"/>
                <w14:lumOff w14:val="15000"/>
              </w14:schemeClr>
            </w14:solidFill>
          </w14:textFill>
        </w:rPr>
        <w:t xml:space="preserve">. </w:t>
      </w:r>
      <w:r>
        <w:rPr>
          <w:rStyle w:val="10"/>
          <w:color w:val="262626" w:themeColor="text1" w:themeTint="D9"/>
          <w14:textFill>
            <w14:solidFill>
              <w14:schemeClr w14:val="tx1">
                <w14:lumMod w14:val="85000"/>
                <w14:lumOff w14:val="15000"/>
              </w14:schemeClr>
            </w14:solidFill>
          </w14:textFill>
        </w:rPr>
        <w:t>Specifically, the tumor samples were classified into seven stages</w:t>
      </w:r>
      <w:r>
        <w:rPr>
          <w:rStyle w:val="10"/>
          <w:rFonts w:hint="eastAsia" w:eastAsia="宋体"/>
          <w:color w:val="262626" w:themeColor="text1" w:themeTint="D9"/>
          <w14:textFill>
            <w14:solidFill>
              <w14:schemeClr w14:val="tx1">
                <w14:lumMod w14:val="85000"/>
                <w14:lumOff w14:val="15000"/>
              </w14:schemeClr>
            </w14:solidFill>
          </w14:textFill>
        </w:rPr>
        <w:t xml:space="preserve"> </w:t>
      </w:r>
      <w:r>
        <w:rPr>
          <w:rStyle w:val="10"/>
          <w:rFonts w:hint="eastAsia"/>
          <w:color w:val="262626" w:themeColor="text1" w:themeTint="D9"/>
          <w14:textFill>
            <w14:solidFill>
              <w14:schemeClr w14:val="tx1">
                <w14:lumMod w14:val="85000"/>
                <w14:lumOff w14:val="15000"/>
              </w14:schemeClr>
            </w14:solidFill>
          </w14:textFill>
        </w:rPr>
        <w:t>(stage</w:t>
      </w:r>
      <w:r>
        <w:rPr>
          <w:rStyle w:val="10"/>
          <w:rFonts w:hint="eastAsia" w:eastAsia="宋体"/>
          <w:color w:val="262626" w:themeColor="text1" w:themeTint="D9"/>
          <w14:textFill>
            <w14:solidFill>
              <w14:schemeClr w14:val="tx1">
                <w14:lumMod w14:val="85000"/>
                <w14:lumOff w14:val="15000"/>
              </w14:schemeClr>
            </w14:solidFill>
          </w14:textFill>
        </w:rPr>
        <w:t xml:space="preserve"> </w:t>
      </w:r>
      <w:r>
        <w:rPr>
          <w:rStyle w:val="10"/>
          <w:rFonts w:hint="eastAsia"/>
          <w:color w:val="262626" w:themeColor="text1" w:themeTint="D9"/>
          <w14:textFill>
            <w14:solidFill>
              <w14:schemeClr w14:val="tx1">
                <w14:lumMod w14:val="85000"/>
                <w14:lumOff w14:val="15000"/>
              </w14:schemeClr>
            </w14:solidFill>
          </w14:textFill>
        </w:rPr>
        <w:t>IA, IB, IIA, IIB, IIIA, IIIB, and IV)</w:t>
      </w:r>
      <w:r>
        <w:rPr>
          <w:rStyle w:val="10"/>
          <w:rFonts w:hint="eastAsia" w:eastAsia="宋体"/>
          <w:color w:val="262626" w:themeColor="text1" w:themeTint="D9"/>
          <w14:textFill>
            <w14:solidFill>
              <w14:schemeClr w14:val="tx1">
                <w14:lumMod w14:val="85000"/>
                <w14:lumOff w14:val="15000"/>
              </w14:schemeClr>
            </w14:solidFill>
          </w14:textFill>
        </w:rPr>
        <w:t xml:space="preserve"> </w:t>
      </w:r>
      <w:r>
        <w:rPr>
          <w:rStyle w:val="10"/>
          <w:color w:val="262626" w:themeColor="text1" w:themeTint="D9"/>
          <w14:textFill>
            <w14:solidFill>
              <w14:schemeClr w14:val="tx1">
                <w14:lumMod w14:val="85000"/>
                <w14:lumOff w14:val="15000"/>
              </w14:schemeClr>
            </w14:solidFill>
          </w14:textFill>
        </w:rPr>
        <w:t>for LUSC, LUAD and STAD</w:t>
      </w:r>
      <w:r>
        <w:rPr>
          <w:rStyle w:val="10"/>
          <w:rFonts w:hint="eastAsia" w:eastAsia="宋体"/>
          <w:color w:val="262626" w:themeColor="text1" w:themeTint="D9"/>
          <w14:textFill>
            <w14:solidFill>
              <w14:schemeClr w14:val="tx1">
                <w14:lumMod w14:val="85000"/>
                <w14:lumOff w14:val="15000"/>
              </w14:schemeClr>
            </w14:solidFill>
          </w14:textFill>
        </w:rPr>
        <w:t>.</w:t>
      </w:r>
      <w:r>
        <w:rPr>
          <w:rStyle w:val="10"/>
          <w:color w:val="262626" w:themeColor="text1" w:themeTint="D9"/>
          <w14:textFill>
            <w14:solidFill>
              <w14:schemeClr w14:val="tx1">
                <w14:lumMod w14:val="85000"/>
                <w14:lumOff w14:val="15000"/>
              </w14:schemeClr>
            </w14:solidFill>
          </w14:textFill>
        </w:rPr>
        <w:t xml:space="preserve"> </w:t>
      </w:r>
      <w:r>
        <w:rPr>
          <w:rStyle w:val="10"/>
          <w:rFonts w:hint="eastAsia" w:eastAsia="宋体"/>
          <w:color w:val="262626" w:themeColor="text1" w:themeTint="D9"/>
          <w14:textFill>
            <w14:solidFill>
              <w14:schemeClr w14:val="tx1">
                <w14:lumMod w14:val="85000"/>
                <w14:lumOff w14:val="15000"/>
              </w14:schemeClr>
            </w14:solidFill>
          </w14:textFill>
        </w:rPr>
        <w:t>T</w:t>
      </w:r>
      <w:r>
        <w:rPr>
          <w:rStyle w:val="10"/>
          <w:color w:val="262626" w:themeColor="text1" w:themeTint="D9"/>
          <w14:textFill>
            <w14:solidFill>
              <w14:schemeClr w14:val="tx1">
                <w14:lumMod w14:val="85000"/>
                <w14:lumOff w14:val="15000"/>
              </w14:schemeClr>
            </w14:solidFill>
          </w14:textFill>
        </w:rPr>
        <w:t>he tumor samples</w:t>
      </w:r>
      <w:r>
        <w:rPr>
          <w:rStyle w:val="10"/>
          <w:rFonts w:hint="eastAsia" w:eastAsia="宋体"/>
          <w:color w:val="262626" w:themeColor="text1" w:themeTint="D9"/>
          <w14:textFill>
            <w14:solidFill>
              <w14:schemeClr w14:val="tx1">
                <w14:lumMod w14:val="85000"/>
                <w14:lumOff w14:val="15000"/>
              </w14:schemeClr>
            </w14:solidFill>
          </w14:textFill>
        </w:rPr>
        <w:t xml:space="preserve"> </w:t>
      </w:r>
      <w:r>
        <w:rPr>
          <w:rStyle w:val="10"/>
          <w:rFonts w:hint="eastAsia"/>
          <w:color w:val="262626" w:themeColor="text1" w:themeTint="D9"/>
          <w14:textFill>
            <w14:solidFill>
              <w14:schemeClr w14:val="tx1">
                <w14:lumMod w14:val="85000"/>
                <w14:lumOff w14:val="15000"/>
              </w14:schemeClr>
            </w14:solidFill>
          </w14:textFill>
        </w:rPr>
        <w:t>were</w:t>
      </w:r>
      <w:r>
        <w:rPr>
          <w:rStyle w:val="10"/>
          <w:rFonts w:hint="eastAsia" w:eastAsia="宋体"/>
          <w:color w:val="262626" w:themeColor="text1" w:themeTint="D9"/>
          <w14:textFill>
            <w14:solidFill>
              <w14:schemeClr w14:val="tx1">
                <w14:lumMod w14:val="85000"/>
                <w14:lumOff w14:val="15000"/>
              </w14:schemeClr>
            </w14:solidFill>
          </w14:textFill>
        </w:rPr>
        <w:t xml:space="preserve"> </w:t>
      </w:r>
      <w:r>
        <w:rPr>
          <w:rStyle w:val="10"/>
          <w:color w:val="262626" w:themeColor="text1" w:themeTint="D9"/>
          <w14:textFill>
            <w14:solidFill>
              <w14:schemeClr w14:val="tx1">
                <w14:lumMod w14:val="85000"/>
                <w14:lumOff w14:val="15000"/>
              </w14:schemeClr>
            </w14:solidFill>
          </w14:textFill>
        </w:rPr>
        <w:t>classified</w:t>
      </w:r>
      <w:r>
        <w:rPr>
          <w:rStyle w:val="10"/>
          <w:rFonts w:hint="eastAsia" w:eastAsia="宋体"/>
          <w:color w:val="262626" w:themeColor="text1" w:themeTint="D9"/>
          <w14:textFill>
            <w14:solidFill>
              <w14:schemeClr w14:val="tx1">
                <w14:lumMod w14:val="85000"/>
                <w14:lumOff w14:val="15000"/>
              </w14:schemeClr>
            </w14:solidFill>
          </w14:textFill>
        </w:rPr>
        <w:t xml:space="preserve"> </w:t>
      </w:r>
      <w:r>
        <w:rPr>
          <w:rStyle w:val="10"/>
          <w:rFonts w:hint="eastAsia"/>
          <w:color w:val="262626" w:themeColor="text1" w:themeTint="D9"/>
          <w14:textFill>
            <w14:solidFill>
              <w14:schemeClr w14:val="tx1">
                <w14:lumMod w14:val="85000"/>
                <w14:lumOff w14:val="15000"/>
              </w14:schemeClr>
            </w14:solidFill>
          </w14:textFill>
        </w:rPr>
        <w:t>into four stages (stage I, II, III, and IV)</w:t>
      </w:r>
      <w:r>
        <w:rPr>
          <w:rStyle w:val="10"/>
          <w:rFonts w:hint="eastAsia" w:eastAsia="宋体"/>
          <w:color w:val="262626" w:themeColor="text1" w:themeTint="D9"/>
          <w14:textFill>
            <w14:solidFill>
              <w14:schemeClr w14:val="tx1">
                <w14:lumMod w14:val="85000"/>
                <w14:lumOff w14:val="15000"/>
              </w14:schemeClr>
            </w14:solidFill>
          </w14:textFill>
        </w:rPr>
        <w:t xml:space="preserve"> for </w:t>
      </w:r>
      <w:r>
        <w:rPr>
          <w:rStyle w:val="10"/>
          <w:color w:val="262626" w:themeColor="text1" w:themeTint="D9"/>
          <w14:textFill>
            <w14:solidFill>
              <w14:schemeClr w14:val="tx1">
                <w14:lumMod w14:val="85000"/>
                <w14:lumOff w14:val="15000"/>
              </w14:schemeClr>
            </w14:solidFill>
          </w14:textFill>
        </w:rPr>
        <w:t>THCA and COAD. The detailed</w:t>
      </w:r>
      <w:r>
        <w:rPr>
          <w:rStyle w:val="10"/>
          <w:rFonts w:hint="eastAsia" w:eastAsia="宋体"/>
          <w:color w:val="262626" w:themeColor="text1" w:themeTint="D9"/>
          <w14:textFill>
            <w14:solidFill>
              <w14:schemeClr w14:val="tx1">
                <w14:lumMod w14:val="85000"/>
                <w14:lumOff w14:val="15000"/>
              </w14:schemeClr>
            </w14:solidFill>
          </w14:textFill>
        </w:rPr>
        <w:t xml:space="preserve"> </w:t>
      </w:r>
      <w:r>
        <w:rPr>
          <w:rFonts w:ascii="Arial" w:hAnsi="Arial" w:cs="Arial"/>
          <w:sz w:val="20"/>
          <w:szCs w:val="20"/>
        </w:rPr>
        <w:t>number of samples within each stage</w:t>
      </w:r>
      <w:r>
        <w:rPr>
          <w:rStyle w:val="10"/>
          <w:color w:val="262626" w:themeColor="text1" w:themeTint="D9"/>
          <w14:textFill>
            <w14:solidFill>
              <w14:schemeClr w14:val="tx1">
                <w14:lumMod w14:val="85000"/>
                <w14:lumOff w14:val="15000"/>
              </w14:schemeClr>
            </w14:solidFill>
          </w14:textFill>
        </w:rPr>
        <w:t xml:space="preserve"> are</w:t>
      </w:r>
      <w:r>
        <w:rPr>
          <w:rStyle w:val="10"/>
          <w:rFonts w:hint="eastAsia" w:eastAsia="宋体"/>
          <w:color w:val="262626" w:themeColor="text1" w:themeTint="D9"/>
          <w14:textFill>
            <w14:solidFill>
              <w14:schemeClr w14:val="tx1">
                <w14:lumMod w14:val="85000"/>
                <w14:lumOff w14:val="15000"/>
              </w14:schemeClr>
            </w14:solidFill>
          </w14:textFill>
        </w:rPr>
        <w:t xml:space="preserve"> shown as the following table S1.</w:t>
      </w:r>
      <w:r>
        <w:rPr>
          <w:rStyle w:val="10"/>
          <w:color w:val="262626" w:themeColor="text1" w:themeTint="D9"/>
          <w14:textFill>
            <w14:solidFill>
              <w14:schemeClr w14:val="tx1">
                <w14:lumMod w14:val="85000"/>
                <w14:lumOff w14:val="15000"/>
              </w14:schemeClr>
            </w14:solidFill>
          </w14:textFill>
        </w:rPr>
        <w:t xml:space="preserve"> </w:t>
      </w:r>
    </w:p>
    <w:p>
      <w:pPr>
        <w:pStyle w:val="12"/>
        <w:snapToGrid w:val="0"/>
        <w:spacing w:before="156" w:beforeLines="50" w:after="156" w:afterLines="50" w:line="360" w:lineRule="auto"/>
        <w:jc w:val="both"/>
        <w:rPr>
          <w:rFonts w:ascii="Times New Roman" w:hAnsi="Times New Roman" w:cs="Times New Roman" w:eastAsiaTheme="minorEastAsia"/>
          <w:sz w:val="24"/>
        </w:rPr>
      </w:pPr>
    </w:p>
    <w:p>
      <w:pPr>
        <w:pStyle w:val="12"/>
        <w:snapToGrid w:val="0"/>
        <w:spacing w:before="156" w:beforeLines="50" w:after="156" w:afterLines="50" w:line="360" w:lineRule="auto"/>
        <w:jc w:val="both"/>
        <w:rPr>
          <w:rFonts w:ascii="Times New Roman" w:hAnsi="Times New Roman" w:cs="Times New Roman" w:eastAsiaTheme="minorEastAsia"/>
          <w:sz w:val="24"/>
        </w:rPr>
      </w:pPr>
    </w:p>
    <w:p>
      <w:pPr>
        <w:pStyle w:val="12"/>
        <w:snapToGrid w:val="0"/>
        <w:spacing w:before="156" w:beforeLines="50" w:after="156" w:afterLines="50" w:line="360" w:lineRule="auto"/>
        <w:jc w:val="both"/>
        <w:rPr>
          <w:rFonts w:ascii="Times New Roman" w:hAnsi="Times New Roman" w:cs="Times New Roman" w:eastAsiaTheme="minorEastAsia"/>
          <w:sz w:val="24"/>
        </w:rPr>
      </w:pPr>
    </w:p>
    <w:p>
      <w:pPr>
        <w:pStyle w:val="12"/>
        <w:snapToGrid w:val="0"/>
        <w:spacing w:before="156" w:beforeLines="50" w:after="156" w:afterLines="50" w:line="360" w:lineRule="auto"/>
        <w:jc w:val="both"/>
        <w:rPr>
          <w:rFonts w:ascii="Times New Roman" w:hAnsi="Times New Roman" w:cs="Times New Roman" w:eastAsiaTheme="minorEastAsia"/>
          <w:sz w:val="24"/>
        </w:rPr>
      </w:pPr>
    </w:p>
    <w:p>
      <w:pPr>
        <w:pStyle w:val="12"/>
        <w:snapToGrid w:val="0"/>
        <w:spacing w:before="156" w:beforeLines="50" w:after="156" w:afterLines="50" w:line="360" w:lineRule="auto"/>
        <w:jc w:val="both"/>
        <w:rPr>
          <w:rFonts w:ascii="Times New Roman" w:hAnsi="Times New Roman" w:cs="Times New Roman" w:eastAsiaTheme="minorEastAsia"/>
          <w:sz w:val="24"/>
        </w:rPr>
      </w:pPr>
    </w:p>
    <w:p>
      <w:pPr>
        <w:spacing w:before="156" w:beforeLines="50" w:after="156" w:afterLines="50" w:line="360" w:lineRule="auto"/>
        <w:rPr>
          <w:rFonts w:ascii="Times New Roman" w:hAnsi="Times New Roman" w:cs="Times New Roman"/>
          <w:sz w:val="24"/>
        </w:rPr>
      </w:pPr>
      <w:r>
        <w:rPr>
          <w:rFonts w:ascii="Arial" w:hAnsi="Arial" w:cs="Arial"/>
          <w:b/>
          <w:bCs/>
          <w:sz w:val="20"/>
          <w:szCs w:val="20"/>
        </w:rPr>
        <w:t>Table S1 Number of samples within each stage in tumor disease dataset from TCGA.</w:t>
      </w:r>
    </w:p>
    <w:p>
      <w:pPr>
        <w:spacing w:before="156" w:beforeLines="50" w:after="156" w:afterLines="50" w:line="360" w:lineRule="auto"/>
        <w:rPr>
          <w:rFonts w:ascii="Times New Roman" w:hAnsi="Times New Roman" w:cs="Times New Roman"/>
          <w:sz w:val="24"/>
        </w:rPr>
      </w:pPr>
      <w:r>
        <w:rPr>
          <w:rFonts w:hint="eastAsia" w:ascii="Times New Roman" w:hAnsi="Times New Roman" w:cs="Times New Roman"/>
          <w:sz w:val="24"/>
        </w:rPr>
        <w:drawing>
          <wp:inline distT="0" distB="0" distL="114300" distR="114300">
            <wp:extent cx="5022215" cy="4754880"/>
            <wp:effectExtent l="0" t="0" r="6985" b="7620"/>
            <wp:docPr id="1" name="图片 1" descr="C:\Users\Miller\Desktop\KL_fig.tifKL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Miller\Desktop\KL_fig.tifKL_fig"/>
                    <pic:cNvPicPr>
                      <a:picLocks noChangeAspect="1"/>
                    </pic:cNvPicPr>
                  </pic:nvPicPr>
                  <pic:blipFill>
                    <a:blip r:embed="rId79"/>
                    <a:srcRect/>
                    <a:stretch>
                      <a:fillRect/>
                    </a:stretch>
                  </pic:blipFill>
                  <pic:spPr>
                    <a:xfrm>
                      <a:off x="0" y="0"/>
                      <a:ext cx="5022215" cy="4754880"/>
                    </a:xfrm>
                    <a:prstGeom prst="rect">
                      <a:avLst/>
                    </a:prstGeom>
                  </pic:spPr>
                </pic:pic>
              </a:graphicData>
            </a:graphic>
          </wp:inline>
        </w:drawing>
      </w:r>
    </w:p>
    <w:p>
      <w:pPr>
        <w:snapToGrid w:val="0"/>
        <w:spacing w:before="156" w:beforeLines="50" w:after="156" w:afterLines="50" w:line="360" w:lineRule="auto"/>
        <w:rPr>
          <w:rStyle w:val="10"/>
          <w:rFonts w:eastAsia="宋体"/>
          <w:color w:val="262626" w:themeColor="text1" w:themeTint="D9"/>
          <w14:textFill>
            <w14:solidFill>
              <w14:schemeClr w14:val="tx1">
                <w14:lumMod w14:val="85000"/>
                <w14:lumOff w14:val="15000"/>
              </w14:schemeClr>
            </w14:solidFill>
          </w14:textFill>
        </w:rPr>
      </w:pPr>
      <w:r>
        <w:rPr>
          <w:rStyle w:val="10"/>
          <w:color w:val="262626" w:themeColor="text1" w:themeTint="D9"/>
          <w14:textFill>
            <w14:solidFill>
              <w14:schemeClr w14:val="tx1">
                <w14:lumMod w14:val="85000"/>
                <w14:lumOff w14:val="15000"/>
              </w14:schemeClr>
            </w14:solidFill>
          </w14:textFill>
        </w:rPr>
        <w:t>To</w:t>
      </w:r>
      <w:r>
        <w:rPr>
          <w:rStyle w:val="10"/>
          <w:rFonts w:hint="eastAsia" w:eastAsia="宋体"/>
          <w:color w:val="262626" w:themeColor="text1" w:themeTint="D9"/>
          <w14:textFill>
            <w14:solidFill>
              <w14:schemeClr w14:val="tx1">
                <w14:lumMod w14:val="85000"/>
                <w14:lumOff w14:val="15000"/>
              </w14:schemeClr>
            </w14:solidFill>
          </w14:textFill>
        </w:rPr>
        <w:t xml:space="preserve"> </w:t>
      </w:r>
      <w:r>
        <w:rPr>
          <w:rStyle w:val="10"/>
          <w:rFonts w:hint="eastAsia"/>
          <w:color w:val="262626" w:themeColor="text1" w:themeTint="D9"/>
          <w14:textFill>
            <w14:solidFill>
              <w14:schemeClr w14:val="tx1">
                <w14:lumMod w14:val="85000"/>
                <w14:lumOff w14:val="15000"/>
              </w14:schemeClr>
            </w14:solidFill>
          </w14:textFill>
        </w:rPr>
        <w:t>illustrate</w:t>
      </w:r>
      <w:r>
        <w:rPr>
          <w:rStyle w:val="10"/>
          <w:color w:val="262626" w:themeColor="text1" w:themeTint="D9"/>
          <w14:textFill>
            <w14:solidFill>
              <w14:schemeClr w14:val="tx1">
                <w14:lumMod w14:val="85000"/>
                <w14:lumOff w14:val="15000"/>
              </w14:schemeClr>
            </w14:solidFill>
          </w14:textFill>
        </w:rPr>
        <w:t xml:space="preserve"> the</w:t>
      </w:r>
      <w:r>
        <w:rPr>
          <w:rStyle w:val="10"/>
          <w:rFonts w:hint="eastAsia" w:eastAsia="宋体"/>
          <w:color w:val="262626" w:themeColor="text1" w:themeTint="D9"/>
          <w14:textFill>
            <w14:solidFill>
              <w14:schemeClr w14:val="tx1">
                <w14:lumMod w14:val="85000"/>
                <w14:lumOff w14:val="15000"/>
              </w14:schemeClr>
            </w14:solidFill>
          </w14:textFill>
        </w:rPr>
        <w:t xml:space="preserve"> validity of the </w:t>
      </w:r>
      <w:r>
        <w:rPr>
          <w:rStyle w:val="10"/>
          <w:color w:val="262626" w:themeColor="text1" w:themeTint="D9"/>
          <w14:textFill>
            <w14:solidFill>
              <w14:schemeClr w14:val="tx1">
                <w14:lumMod w14:val="85000"/>
                <w14:lumOff w14:val="15000"/>
              </w14:schemeClr>
            </w14:solidFill>
          </w14:textFill>
        </w:rPr>
        <w:t>critical state</w:t>
      </w:r>
      <w:r>
        <w:rPr>
          <w:rStyle w:val="10"/>
          <w:rFonts w:hint="eastAsia" w:eastAsia="宋体"/>
          <w:color w:val="262626" w:themeColor="text1" w:themeTint="D9"/>
          <w14:textFill>
            <w14:solidFill>
              <w14:schemeClr w14:val="tx1">
                <w14:lumMod w14:val="85000"/>
                <w14:lumOff w14:val="15000"/>
              </w14:schemeClr>
            </w14:solidFill>
          </w14:textFill>
        </w:rPr>
        <w:t xml:space="preserve"> </w:t>
      </w:r>
      <w:r>
        <w:rPr>
          <w:rStyle w:val="10"/>
          <w:color w:val="262626" w:themeColor="text1" w:themeTint="D9"/>
          <w14:textFill>
            <w14:solidFill>
              <w14:schemeClr w14:val="tx1">
                <w14:lumMod w14:val="85000"/>
                <w14:lumOff w14:val="15000"/>
              </w14:schemeClr>
            </w14:solidFill>
          </w14:textFill>
        </w:rPr>
        <w:t>identified</w:t>
      </w:r>
      <w:r>
        <w:rPr>
          <w:rStyle w:val="10"/>
          <w:rFonts w:hint="eastAsia" w:eastAsia="宋体"/>
          <w:color w:val="262626" w:themeColor="text1" w:themeTint="D9"/>
          <w14:textFill>
            <w14:solidFill>
              <w14:schemeClr w14:val="tx1">
                <w14:lumMod w14:val="85000"/>
                <w14:lumOff w14:val="15000"/>
              </w14:schemeClr>
            </w14:solidFill>
          </w14:textFill>
        </w:rPr>
        <w:t xml:space="preserve"> by sKLD</w:t>
      </w:r>
      <w:r>
        <w:rPr>
          <w:rStyle w:val="10"/>
          <w:color w:val="262626" w:themeColor="text1" w:themeTint="D9"/>
          <w14:textFill>
            <w14:solidFill>
              <w14:schemeClr w14:val="tx1">
                <w14:lumMod w14:val="85000"/>
                <w14:lumOff w14:val="15000"/>
              </w14:schemeClr>
            </w14:solidFill>
          </w14:textFill>
        </w:rPr>
        <w:t>,</w:t>
      </w:r>
      <w:r>
        <w:rPr>
          <w:rStyle w:val="10"/>
          <w:rFonts w:hint="eastAsia" w:eastAsia="宋体"/>
          <w:color w:val="262626" w:themeColor="text1" w:themeTint="D9"/>
          <w14:textFill>
            <w14:solidFill>
              <w14:schemeClr w14:val="tx1">
                <w14:lumMod w14:val="85000"/>
                <w14:lumOff w14:val="15000"/>
              </w14:schemeClr>
            </w14:solidFill>
          </w14:textFill>
        </w:rPr>
        <w:t xml:space="preserve"> the </w:t>
      </w:r>
      <w:r>
        <w:rPr>
          <w:rStyle w:val="10"/>
          <w:color w:val="262626" w:themeColor="text1" w:themeTint="D9"/>
          <w14:textFill>
            <w14:solidFill>
              <w14:schemeClr w14:val="tx1">
                <w14:lumMod w14:val="85000"/>
                <w14:lumOff w14:val="15000"/>
              </w14:schemeClr>
            </w14:solidFill>
          </w14:textFill>
        </w:rPr>
        <w:t>Kaplan-Meier (log-rank) survival analysis</w:t>
      </w:r>
      <w:r>
        <w:rPr>
          <w:rStyle w:val="10"/>
          <w:rFonts w:hint="eastAsia" w:eastAsia="宋体"/>
          <w:color w:val="262626" w:themeColor="text1" w:themeTint="D9"/>
          <w14:textFill>
            <w14:solidFill>
              <w14:schemeClr w14:val="tx1">
                <w14:lumMod w14:val="85000"/>
                <w14:lumOff w14:val="15000"/>
              </w14:schemeClr>
            </w14:solidFill>
          </w14:textFill>
        </w:rPr>
        <w:t xml:space="preserve"> was conducted </w:t>
      </w:r>
      <w:r>
        <w:rPr>
          <w:rStyle w:val="10"/>
          <w:color w:val="262626" w:themeColor="text1" w:themeTint="D9"/>
          <w14:textFill>
            <w14:solidFill>
              <w14:schemeClr w14:val="tx1">
                <w14:lumMod w14:val="85000"/>
                <w14:lumOff w14:val="15000"/>
              </w14:schemeClr>
            </w14:solidFill>
          </w14:textFill>
        </w:rPr>
        <w:t>based on before-transition and after-transition samples</w:t>
      </w:r>
      <w:r>
        <w:rPr>
          <w:rStyle w:val="10"/>
          <w:rFonts w:hint="eastAsia" w:eastAsia="宋体"/>
          <w:color w:val="262626" w:themeColor="text1" w:themeTint="D9"/>
          <w14:textFill>
            <w14:solidFill>
              <w14:schemeClr w14:val="tx1">
                <w14:lumMod w14:val="85000"/>
                <w14:lumOff w14:val="15000"/>
              </w14:schemeClr>
            </w14:solidFill>
          </w14:textFill>
        </w:rPr>
        <w:t xml:space="preserve">. </w:t>
      </w:r>
      <w:r>
        <w:rPr>
          <w:rStyle w:val="10"/>
          <w:color w:val="262626" w:themeColor="text1" w:themeTint="D9"/>
          <w14:textFill>
            <w14:solidFill>
              <w14:schemeClr w14:val="tx1">
                <w14:lumMod w14:val="85000"/>
                <w14:lumOff w14:val="15000"/>
              </w14:schemeClr>
            </w14:solidFill>
          </w14:textFill>
        </w:rPr>
        <w:t>The</w:t>
      </w:r>
      <w:r>
        <w:rPr>
          <w:rStyle w:val="10"/>
          <w:rFonts w:hint="eastAsia" w:eastAsia="宋体"/>
          <w:color w:val="262626" w:themeColor="text1" w:themeTint="D9"/>
          <w14:textFill>
            <w14:solidFill>
              <w14:schemeClr w14:val="tx1">
                <w14:lumMod w14:val="85000"/>
                <w14:lumOff w14:val="15000"/>
              </w14:schemeClr>
            </w14:solidFill>
          </w14:textFill>
        </w:rPr>
        <w:t xml:space="preserve"> results were shown in the following Figure S5. The studies consistently showed that </w:t>
      </w:r>
      <w:r>
        <w:rPr>
          <w:rStyle w:val="10"/>
          <w:color w:val="262626" w:themeColor="text1" w:themeTint="D9"/>
          <w14:textFill>
            <w14:solidFill>
              <w14:schemeClr w14:val="tx1">
                <w14:lumMod w14:val="85000"/>
                <w14:lumOff w14:val="15000"/>
              </w14:schemeClr>
            </w14:solidFill>
          </w14:textFill>
        </w:rPr>
        <w:t>the survival time of</w:t>
      </w:r>
      <w:r>
        <w:rPr>
          <w:rStyle w:val="10"/>
          <w:rFonts w:hint="eastAsia" w:eastAsia="宋体"/>
          <w:color w:val="262626" w:themeColor="text1" w:themeTint="D9"/>
          <w14:textFill>
            <w14:solidFill>
              <w14:schemeClr w14:val="tx1">
                <w14:lumMod w14:val="85000"/>
                <w14:lumOff w14:val="15000"/>
              </w14:schemeClr>
            </w14:solidFill>
          </w14:textFill>
        </w:rPr>
        <w:t xml:space="preserve"> samples from </w:t>
      </w:r>
      <w:r>
        <w:rPr>
          <w:rStyle w:val="10"/>
          <w:color w:val="262626" w:themeColor="text1" w:themeTint="D9"/>
          <w14:textFill>
            <w14:solidFill>
              <w14:schemeClr w14:val="tx1">
                <w14:lumMod w14:val="85000"/>
                <w14:lumOff w14:val="15000"/>
              </w14:schemeClr>
            </w14:solidFill>
          </w14:textFill>
        </w:rPr>
        <w:t>the before-transition period</w:t>
      </w:r>
      <w:r>
        <w:rPr>
          <w:rStyle w:val="10"/>
          <w:rFonts w:hint="eastAsia" w:eastAsia="宋体"/>
          <w:color w:val="262626" w:themeColor="text1" w:themeTint="D9"/>
          <w14:textFill>
            <w14:solidFill>
              <w14:schemeClr w14:val="tx1">
                <w14:lumMod w14:val="85000"/>
                <w14:lumOff w14:val="15000"/>
              </w14:schemeClr>
            </w14:solidFill>
          </w14:textFill>
        </w:rPr>
        <w:t xml:space="preserve"> is </w:t>
      </w:r>
      <w:r>
        <w:rPr>
          <w:rStyle w:val="10"/>
          <w:color w:val="262626" w:themeColor="text1" w:themeTint="D9"/>
          <w14:textFill>
            <w14:solidFill>
              <w14:schemeClr w14:val="tx1">
                <w14:lumMod w14:val="85000"/>
                <w14:lumOff w14:val="15000"/>
              </w14:schemeClr>
            </w14:solidFill>
          </w14:textFill>
        </w:rPr>
        <w:t xml:space="preserve">much longer than that </w:t>
      </w:r>
      <w:r>
        <w:rPr>
          <w:rStyle w:val="10"/>
          <w:rFonts w:hint="eastAsia" w:eastAsia="宋体"/>
          <w:color w:val="262626" w:themeColor="text1" w:themeTint="D9"/>
          <w14:textFill>
            <w14:solidFill>
              <w14:schemeClr w14:val="tx1">
                <w14:lumMod w14:val="85000"/>
                <w14:lumOff w14:val="15000"/>
              </w14:schemeClr>
            </w14:solidFill>
          </w14:textFill>
        </w:rPr>
        <w:t>from</w:t>
      </w:r>
      <w:r>
        <w:rPr>
          <w:rStyle w:val="10"/>
          <w:color w:val="262626" w:themeColor="text1" w:themeTint="D9"/>
          <w14:textFill>
            <w14:solidFill>
              <w14:schemeClr w14:val="tx1">
                <w14:lumMod w14:val="85000"/>
                <w14:lumOff w14:val="15000"/>
              </w14:schemeClr>
            </w14:solidFill>
          </w14:textFill>
        </w:rPr>
        <w:t xml:space="preserve"> after-transition period</w:t>
      </w:r>
      <w:r>
        <w:rPr>
          <w:rStyle w:val="10"/>
          <w:rFonts w:hint="eastAsia" w:eastAsia="宋体"/>
          <w:color w:val="262626" w:themeColor="text1" w:themeTint="D9"/>
          <w14:textFill>
            <w14:solidFill>
              <w14:schemeClr w14:val="tx1">
                <w14:lumMod w14:val="85000"/>
                <w14:lumOff w14:val="15000"/>
              </w14:schemeClr>
            </w14:solidFill>
          </w14:textFill>
        </w:rPr>
        <w:t xml:space="preserve">. Besides, </w:t>
      </w:r>
      <w:r>
        <w:rPr>
          <w:rStyle w:val="10"/>
          <w:color w:val="262626" w:themeColor="text1" w:themeTint="D9"/>
          <w14:textFill>
            <w14:solidFill>
              <w14:schemeClr w14:val="tx1">
                <w14:lumMod w14:val="85000"/>
                <w14:lumOff w14:val="15000"/>
              </w14:schemeClr>
            </w14:solidFill>
          </w14:textFill>
        </w:rPr>
        <w:t>there is little significant differenc</w:t>
      </w:r>
      <w:r>
        <w:rPr>
          <w:rStyle w:val="10"/>
          <w:rFonts w:hint="eastAsia" w:eastAsia="宋体"/>
          <w:color w:val="262626" w:themeColor="text1" w:themeTint="D9"/>
          <w14:textFill>
            <w14:solidFill>
              <w14:schemeClr w14:val="tx1">
                <w14:lumMod w14:val="85000"/>
                <w14:lumOff w14:val="15000"/>
              </w14:schemeClr>
            </w14:solidFill>
          </w14:textFill>
        </w:rPr>
        <w:t>e</w:t>
      </w:r>
      <w:r>
        <w:rPr>
          <w:rStyle w:val="10"/>
          <w:color w:val="262626" w:themeColor="text1" w:themeTint="D9"/>
          <w14:textFill>
            <w14:solidFill>
              <w14:schemeClr w14:val="tx1">
                <w14:lumMod w14:val="85000"/>
                <w14:lumOff w14:val="15000"/>
              </w14:schemeClr>
            </w14:solidFill>
          </w14:textFill>
        </w:rPr>
        <w:t xml:space="preserve"> </w:t>
      </w:r>
      <w:r>
        <w:rPr>
          <w:rStyle w:val="10"/>
          <w:rFonts w:hint="eastAsia" w:eastAsia="宋体"/>
          <w:color w:val="262626" w:themeColor="text1" w:themeTint="D9"/>
          <w14:textFill>
            <w14:solidFill>
              <w14:schemeClr w14:val="tx1">
                <w14:lumMod w14:val="85000"/>
                <w14:lumOff w14:val="15000"/>
              </w14:schemeClr>
            </w14:solidFill>
          </w14:textFill>
        </w:rPr>
        <w:t xml:space="preserve">among </w:t>
      </w:r>
      <w:r>
        <w:rPr>
          <w:rStyle w:val="10"/>
          <w:color w:val="262626" w:themeColor="text1" w:themeTint="D9"/>
          <w14:textFill>
            <w14:solidFill>
              <w14:schemeClr w14:val="tx1">
                <w14:lumMod w14:val="85000"/>
                <w14:lumOff w14:val="15000"/>
              </w14:schemeClr>
            </w14:solidFill>
          </w14:textFill>
        </w:rPr>
        <w:t>the survival time</w:t>
      </w:r>
      <w:r>
        <w:rPr>
          <w:rStyle w:val="10"/>
          <w:rFonts w:hint="eastAsia" w:eastAsia="宋体"/>
          <w:color w:val="262626" w:themeColor="text1" w:themeTint="D9"/>
          <w14:textFill>
            <w14:solidFill>
              <w14:schemeClr w14:val="tx1">
                <w14:lumMod w14:val="85000"/>
                <w14:lumOff w14:val="15000"/>
              </w14:schemeClr>
            </w14:solidFill>
          </w14:textFill>
        </w:rPr>
        <w:t xml:space="preserve"> of</w:t>
      </w:r>
      <w:r>
        <w:rPr>
          <w:rStyle w:val="10"/>
          <w:color w:val="262626" w:themeColor="text1" w:themeTint="D9"/>
          <w14:textFill>
            <w14:solidFill>
              <w14:schemeClr w14:val="tx1">
                <w14:lumMod w14:val="85000"/>
                <w14:lumOff w14:val="15000"/>
              </w14:schemeClr>
            </w14:solidFill>
          </w14:textFill>
        </w:rPr>
        <w:t xml:space="preserve"> samples</w:t>
      </w:r>
      <w:r>
        <w:rPr>
          <w:rStyle w:val="10"/>
          <w:rFonts w:hint="eastAsia" w:eastAsia="宋体"/>
          <w:color w:val="262626" w:themeColor="text1" w:themeTint="D9"/>
          <w14:textFill>
            <w14:solidFill>
              <w14:schemeClr w14:val="tx1">
                <w14:lumMod w14:val="85000"/>
                <w14:lumOff w14:val="15000"/>
              </w14:schemeClr>
            </w14:solidFill>
          </w14:textFill>
        </w:rPr>
        <w:t xml:space="preserve"> from </w:t>
      </w:r>
      <w:r>
        <w:rPr>
          <w:rStyle w:val="10"/>
          <w:color w:val="262626" w:themeColor="text1" w:themeTint="D9"/>
          <w14:textFill>
            <w14:solidFill>
              <w14:schemeClr w14:val="tx1">
                <w14:lumMod w14:val="85000"/>
                <w14:lumOff w14:val="15000"/>
              </w14:schemeClr>
            </w14:solidFill>
          </w14:textFill>
        </w:rPr>
        <w:t>the stages before the critical state</w:t>
      </w:r>
      <w:r>
        <w:rPr>
          <w:rStyle w:val="10"/>
          <w:rFonts w:hint="eastAsia" w:eastAsia="宋体"/>
          <w:color w:val="262626" w:themeColor="text1" w:themeTint="D9"/>
          <w14:textFill>
            <w14:solidFill>
              <w14:schemeClr w14:val="tx1">
                <w14:lumMod w14:val="85000"/>
                <w14:lumOff w14:val="15000"/>
              </w14:schemeClr>
            </w14:solidFill>
          </w14:textFill>
        </w:rPr>
        <w:t xml:space="preserve"> and </w:t>
      </w:r>
      <w:r>
        <w:rPr>
          <w:rStyle w:val="10"/>
          <w:color w:val="262626" w:themeColor="text1" w:themeTint="D9"/>
          <w14:textFill>
            <w14:solidFill>
              <w14:schemeClr w14:val="tx1">
                <w14:lumMod w14:val="85000"/>
                <w14:lumOff w14:val="15000"/>
              </w14:schemeClr>
            </w14:solidFill>
          </w14:textFill>
        </w:rPr>
        <w:t>little difference</w:t>
      </w:r>
      <w:r>
        <w:rPr>
          <w:rStyle w:val="10"/>
          <w:rFonts w:hint="eastAsia" w:eastAsia="宋体"/>
          <w:color w:val="262626" w:themeColor="text1" w:themeTint="D9"/>
          <w14:textFill>
            <w14:solidFill>
              <w14:schemeClr w14:val="tx1">
                <w14:lumMod w14:val="85000"/>
                <w14:lumOff w14:val="15000"/>
              </w14:schemeClr>
            </w14:solidFill>
          </w14:textFill>
        </w:rPr>
        <w:t xml:space="preserve"> </w:t>
      </w:r>
      <w:r>
        <w:rPr>
          <w:rStyle w:val="10"/>
          <w:color w:val="262626" w:themeColor="text1" w:themeTint="D9"/>
          <w14:textFill>
            <w14:solidFill>
              <w14:schemeClr w14:val="tx1">
                <w14:lumMod w14:val="85000"/>
                <w14:lumOff w14:val="15000"/>
              </w14:schemeClr>
            </w14:solidFill>
          </w14:textFill>
        </w:rPr>
        <w:t xml:space="preserve">among the survival </w:t>
      </w:r>
      <w:r>
        <w:rPr>
          <w:rStyle w:val="10"/>
          <w:rFonts w:hint="eastAsia" w:eastAsia="宋体"/>
          <w:color w:val="262626" w:themeColor="text1" w:themeTint="D9"/>
          <w14:textFill>
            <w14:solidFill>
              <w14:schemeClr w14:val="tx1">
                <w14:lumMod w14:val="85000"/>
                <w14:lumOff w14:val="15000"/>
              </w14:schemeClr>
            </w14:solidFill>
          </w14:textFill>
        </w:rPr>
        <w:t>time</w:t>
      </w:r>
      <w:r>
        <w:rPr>
          <w:rStyle w:val="10"/>
          <w:color w:val="262626" w:themeColor="text1" w:themeTint="D9"/>
          <w14:textFill>
            <w14:solidFill>
              <w14:schemeClr w14:val="tx1">
                <w14:lumMod w14:val="85000"/>
                <w14:lumOff w14:val="15000"/>
              </w14:schemeClr>
            </w14:solidFill>
          </w14:textFill>
        </w:rPr>
        <w:t xml:space="preserve"> of samples from</w:t>
      </w:r>
      <w:r>
        <w:rPr>
          <w:rStyle w:val="10"/>
          <w:rFonts w:hint="eastAsia" w:eastAsia="宋体"/>
          <w:color w:val="262626" w:themeColor="text1" w:themeTint="D9"/>
          <w14:textFill>
            <w14:solidFill>
              <w14:schemeClr w14:val="tx1">
                <w14:lumMod w14:val="85000"/>
                <w14:lumOff w14:val="15000"/>
              </w14:schemeClr>
            </w14:solidFill>
          </w14:textFill>
        </w:rPr>
        <w:t xml:space="preserve"> </w:t>
      </w:r>
      <w:r>
        <w:rPr>
          <w:rStyle w:val="10"/>
          <w:color w:val="262626" w:themeColor="text1" w:themeTint="D9"/>
          <w14:textFill>
            <w14:solidFill>
              <w14:schemeClr w14:val="tx1">
                <w14:lumMod w14:val="85000"/>
                <w14:lumOff w14:val="15000"/>
              </w14:schemeClr>
            </w14:solidFill>
          </w14:textFill>
        </w:rPr>
        <w:t>the stages after the critical state</w:t>
      </w:r>
      <w:r>
        <w:rPr>
          <w:rStyle w:val="10"/>
          <w:rFonts w:hint="eastAsia" w:eastAsia="宋体"/>
          <w:color w:val="262626" w:themeColor="text1" w:themeTint="D9"/>
          <w14:textFill>
            <w14:solidFill>
              <w14:schemeClr w14:val="tx1">
                <w14:lumMod w14:val="85000"/>
                <w14:lumOff w14:val="15000"/>
              </w14:schemeClr>
            </w14:solidFill>
          </w14:textFill>
        </w:rPr>
        <w:t xml:space="preserve">. </w:t>
      </w:r>
      <w:r>
        <w:rPr>
          <w:rStyle w:val="10"/>
          <w:color w:val="262626" w:themeColor="text1" w:themeTint="D9"/>
          <w14:textFill>
            <w14:solidFill>
              <w14:schemeClr w14:val="tx1">
                <w14:lumMod w14:val="85000"/>
                <w14:lumOff w14:val="15000"/>
              </w14:schemeClr>
            </w14:solidFill>
          </w14:textFill>
        </w:rPr>
        <w:t>These results demonstrate</w:t>
      </w:r>
      <w:r>
        <w:rPr>
          <w:rStyle w:val="10"/>
          <w:rFonts w:hint="eastAsia" w:eastAsia="宋体"/>
          <w:color w:val="262626" w:themeColor="text1" w:themeTint="D9"/>
          <w14:textFill>
            <w14:solidFill>
              <w14:schemeClr w14:val="tx1">
                <w14:lumMod w14:val="85000"/>
                <w14:lumOff w14:val="15000"/>
              </w14:schemeClr>
            </w14:solidFill>
          </w14:textFill>
        </w:rPr>
        <w:t>d</w:t>
      </w:r>
      <w:r>
        <w:rPr>
          <w:rStyle w:val="10"/>
          <w:color w:val="262626" w:themeColor="text1" w:themeTint="D9"/>
          <w14:textFill>
            <w14:solidFill>
              <w14:schemeClr w14:val="tx1">
                <w14:lumMod w14:val="85000"/>
                <w14:lumOff w14:val="15000"/>
              </w14:schemeClr>
            </w14:solidFill>
          </w14:textFill>
        </w:rPr>
        <w:t xml:space="preserve"> that the sKLD </w:t>
      </w:r>
      <w:r>
        <w:rPr>
          <w:rStyle w:val="10"/>
          <w:rFonts w:hint="eastAsia" w:eastAsia="宋体"/>
          <w:color w:val="262626" w:themeColor="text1" w:themeTint="D9"/>
          <w14:textFill>
            <w14:solidFill>
              <w14:schemeClr w14:val="tx1">
                <w14:lumMod w14:val="85000"/>
                <w14:lumOff w14:val="15000"/>
              </w14:schemeClr>
            </w14:solidFill>
          </w14:textFill>
        </w:rPr>
        <w:t xml:space="preserve">method can </w:t>
      </w:r>
      <w:r>
        <w:rPr>
          <w:rStyle w:val="10"/>
          <w:color w:val="262626" w:themeColor="text1" w:themeTint="D9"/>
          <w14:textFill>
            <w14:solidFill>
              <w14:schemeClr w14:val="tx1">
                <w14:lumMod w14:val="85000"/>
                <w14:lumOff w14:val="15000"/>
              </w14:schemeClr>
            </w14:solidFill>
          </w14:textFill>
        </w:rPr>
        <w:t>detect the early-warning signals of a critical transition of survive</w:t>
      </w:r>
      <w:r>
        <w:rPr>
          <w:rStyle w:val="10"/>
          <w:rFonts w:hint="eastAsia" w:eastAsia="宋体"/>
          <w:color w:val="262626" w:themeColor="text1" w:themeTint="D9"/>
          <w14:textFill>
            <w14:solidFill>
              <w14:schemeClr w14:val="tx1">
                <w14:lumMod w14:val="85000"/>
                <w14:lumOff w14:val="15000"/>
              </w14:schemeClr>
            </w14:solidFill>
          </w14:textFill>
        </w:rPr>
        <w:t xml:space="preserve">, which </w:t>
      </w:r>
      <w:r>
        <w:rPr>
          <w:rStyle w:val="10"/>
          <w:color w:val="262626" w:themeColor="text1" w:themeTint="D9"/>
          <w14:textFill>
            <w14:solidFill>
              <w14:schemeClr w14:val="tx1">
                <w14:lumMod w14:val="85000"/>
                <w14:lumOff w14:val="15000"/>
              </w14:schemeClr>
            </w14:solidFill>
          </w14:textFill>
        </w:rPr>
        <w:t>validate</w:t>
      </w:r>
      <w:r>
        <w:rPr>
          <w:rStyle w:val="10"/>
          <w:rFonts w:hint="eastAsia" w:eastAsia="宋体"/>
          <w:color w:val="262626" w:themeColor="text1" w:themeTint="D9"/>
          <w14:textFill>
            <w14:solidFill>
              <w14:schemeClr w14:val="tx1">
                <w14:lumMod w14:val="85000"/>
                <w14:lumOff w14:val="15000"/>
              </w14:schemeClr>
            </w14:solidFill>
          </w14:textFill>
        </w:rPr>
        <w:t>d</w:t>
      </w:r>
      <w:r>
        <w:rPr>
          <w:rStyle w:val="10"/>
          <w:color w:val="262626" w:themeColor="text1" w:themeTint="D9"/>
          <w14:textFill>
            <w14:solidFill>
              <w14:schemeClr w14:val="tx1">
                <w14:lumMod w14:val="85000"/>
                <w14:lumOff w14:val="15000"/>
              </w14:schemeClr>
            </w14:solidFill>
          </w14:textFill>
        </w:rPr>
        <w:t xml:space="preserve"> the identified critical state</w:t>
      </w:r>
      <w:r>
        <w:rPr>
          <w:rStyle w:val="10"/>
          <w:rFonts w:hint="eastAsia" w:eastAsia="宋体"/>
          <w:color w:val="262626" w:themeColor="text1" w:themeTint="D9"/>
          <w14:textFill>
            <w14:solidFill>
              <w14:schemeClr w14:val="tx1">
                <w14:lumMod w14:val="85000"/>
                <w14:lumOff w14:val="15000"/>
              </w14:schemeClr>
            </w14:solidFill>
          </w14:textFill>
        </w:rPr>
        <w:t xml:space="preserve"> </w:t>
      </w:r>
      <w:r>
        <w:rPr>
          <w:rStyle w:val="10"/>
          <w:color w:val="262626" w:themeColor="text1" w:themeTint="D9"/>
          <w14:textFill>
            <w14:solidFill>
              <w14:schemeClr w14:val="tx1">
                <w14:lumMod w14:val="85000"/>
                <w14:lumOff w14:val="15000"/>
              </w14:schemeClr>
            </w14:solidFill>
          </w14:textFill>
        </w:rPr>
        <w:t>identified</w:t>
      </w:r>
      <w:r>
        <w:rPr>
          <w:rStyle w:val="10"/>
          <w:rFonts w:hint="eastAsia" w:eastAsia="宋体"/>
          <w:color w:val="262626" w:themeColor="text1" w:themeTint="D9"/>
          <w14:textFill>
            <w14:solidFill>
              <w14:schemeClr w14:val="tx1">
                <w14:lumMod w14:val="85000"/>
                <w14:lumOff w14:val="15000"/>
              </w14:schemeClr>
            </w14:solidFill>
          </w14:textFill>
        </w:rPr>
        <w:t xml:space="preserve"> by sKLD.</w:t>
      </w:r>
    </w:p>
    <w:p>
      <w:pPr>
        <w:spacing w:before="156" w:beforeLines="50" w:after="156" w:afterLines="50" w:line="360" w:lineRule="auto"/>
        <w:rPr>
          <w:rFonts w:ascii="Times New Roman" w:hAnsi="Times New Roman" w:cs="Times New Roman"/>
          <w:sz w:val="24"/>
        </w:rPr>
      </w:pPr>
      <w:r>
        <w:rPr>
          <w:rFonts w:hint="eastAsia" w:ascii="Times New Roman" w:hAnsi="Times New Roman" w:cs="Times New Roman"/>
          <w:sz w:val="24"/>
        </w:rPr>
        <w:drawing>
          <wp:inline distT="0" distB="0" distL="114300" distR="114300">
            <wp:extent cx="5499735" cy="5208905"/>
            <wp:effectExtent l="0" t="0" r="5715" b="10795"/>
            <wp:docPr id="3" name="图片 3" descr="C:\Users\Miller\Desktop\QQ图片20191001190555.pngQQ图片2019100119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Miller\Desktop\QQ图片20191001190555.pngQQ图片20191001190555"/>
                    <pic:cNvPicPr>
                      <a:picLocks noChangeAspect="1"/>
                    </pic:cNvPicPr>
                  </pic:nvPicPr>
                  <pic:blipFill>
                    <a:blip r:embed="rId80"/>
                    <a:srcRect/>
                    <a:stretch>
                      <a:fillRect/>
                    </a:stretch>
                  </pic:blipFill>
                  <pic:spPr>
                    <a:xfrm>
                      <a:off x="0" y="0"/>
                      <a:ext cx="5499735" cy="5208905"/>
                    </a:xfrm>
                    <a:prstGeom prst="rect">
                      <a:avLst/>
                    </a:prstGeom>
                  </pic:spPr>
                </pic:pic>
              </a:graphicData>
            </a:graphic>
          </wp:inline>
        </w:drawing>
      </w:r>
    </w:p>
    <w:p>
      <w:pPr>
        <w:spacing w:before="156" w:beforeLines="50" w:after="156" w:afterLines="50" w:line="360" w:lineRule="auto"/>
        <w:rPr>
          <w:rFonts w:ascii="Arial" w:hAnsi="Arial" w:eastAsia="Gungsuh" w:cs="Arial"/>
          <w:sz w:val="18"/>
          <w:szCs w:val="18"/>
        </w:rPr>
      </w:pPr>
      <w:r>
        <w:rPr>
          <w:rFonts w:ascii="Arial" w:hAnsi="Arial" w:cs="Arial"/>
          <w:sz w:val="18"/>
          <w:szCs w:val="18"/>
        </w:rPr>
        <w:t>Figure S</w:t>
      </w:r>
      <w:r>
        <w:rPr>
          <w:rFonts w:hint="eastAsia" w:ascii="Arial" w:hAnsi="Arial" w:cs="Arial"/>
          <w:sz w:val="18"/>
          <w:szCs w:val="18"/>
        </w:rPr>
        <w:t>5</w:t>
      </w:r>
      <w:r>
        <w:rPr>
          <w:rFonts w:ascii="Arial" w:hAnsi="Arial" w:cs="Arial"/>
          <w:sz w:val="18"/>
          <w:szCs w:val="18"/>
        </w:rPr>
        <w:t xml:space="preserve">: </w:t>
      </w:r>
      <w:r>
        <w:rPr>
          <w:rFonts w:hint="eastAsia" w:ascii="Arial" w:hAnsi="Arial" w:cs="Arial"/>
          <w:b/>
          <w:bCs/>
          <w:sz w:val="18"/>
          <w:szCs w:val="18"/>
        </w:rPr>
        <w:t xml:space="preserve">a </w:t>
      </w:r>
      <w:r>
        <w:rPr>
          <w:rFonts w:ascii="Arial" w:hAnsi="Arial" w:eastAsia="Gungsuh" w:cs="Arial"/>
          <w:sz w:val="18"/>
          <w:szCs w:val="18"/>
        </w:rPr>
        <w:t>The critical point (I</w:t>
      </w:r>
      <w:r>
        <w:rPr>
          <w:rFonts w:hint="eastAsia" w:ascii="Arial" w:hAnsi="Arial" w:eastAsia="宋体" w:cs="Arial"/>
          <w:sz w:val="18"/>
          <w:szCs w:val="18"/>
        </w:rPr>
        <w:t>IA</w:t>
      </w:r>
      <w:r>
        <w:rPr>
          <w:rFonts w:ascii="Arial" w:hAnsi="Arial" w:eastAsia="Gungsuh" w:cs="Arial"/>
          <w:sz w:val="18"/>
          <w:szCs w:val="18"/>
        </w:rPr>
        <w:t>) of LUSC vs the next stage of critical point (IIB) of LUSC in survival analysis</w:t>
      </w:r>
      <w:r>
        <w:rPr>
          <w:rFonts w:hint="eastAsia" w:ascii="Arial" w:hAnsi="Arial" w:eastAsia="宋体" w:cs="Arial"/>
          <w:sz w:val="18"/>
          <w:szCs w:val="18"/>
        </w:rPr>
        <w:t xml:space="preserve">. </w:t>
      </w:r>
      <w:r>
        <w:rPr>
          <w:rFonts w:hint="eastAsia" w:ascii="Arial" w:hAnsi="Arial" w:cs="Arial"/>
          <w:b/>
          <w:bCs/>
          <w:sz w:val="18"/>
          <w:szCs w:val="18"/>
        </w:rPr>
        <w:t xml:space="preserve">b </w:t>
      </w:r>
      <w:r>
        <w:rPr>
          <w:rFonts w:ascii="Arial" w:hAnsi="Arial" w:eastAsia="Gungsuh" w:cs="Arial"/>
          <w:sz w:val="18"/>
          <w:szCs w:val="18"/>
        </w:rPr>
        <w:t>Two stages in before-transition period (IA</w:t>
      </w:r>
      <w:r>
        <w:rPr>
          <w:rFonts w:hint="eastAsia" w:ascii="Arial" w:hAnsi="Arial" w:eastAsia="宋体" w:cs="Arial"/>
          <w:sz w:val="18"/>
          <w:szCs w:val="18"/>
        </w:rPr>
        <w:t>-</w:t>
      </w:r>
      <w:r>
        <w:rPr>
          <w:rFonts w:ascii="Arial" w:hAnsi="Arial" w:eastAsia="Gungsuh" w:cs="Arial"/>
          <w:sz w:val="18"/>
          <w:szCs w:val="18"/>
        </w:rPr>
        <w:t>IB) of</w:t>
      </w:r>
      <w:r>
        <w:rPr>
          <w:rFonts w:hint="eastAsia" w:ascii="Arial" w:hAnsi="Arial" w:eastAsia="宋体" w:cs="Arial"/>
          <w:sz w:val="18"/>
          <w:szCs w:val="18"/>
        </w:rPr>
        <w:t xml:space="preserve"> </w:t>
      </w:r>
      <w:r>
        <w:rPr>
          <w:rFonts w:ascii="Arial" w:hAnsi="Arial" w:eastAsia="Gungsuh" w:cs="Arial"/>
          <w:sz w:val="18"/>
          <w:szCs w:val="18"/>
        </w:rPr>
        <w:t>LUSC in survival analysis</w:t>
      </w:r>
      <w:r>
        <w:rPr>
          <w:rFonts w:hint="eastAsia" w:ascii="Arial" w:hAnsi="Arial" w:eastAsia="宋体" w:cs="Arial"/>
          <w:sz w:val="18"/>
          <w:szCs w:val="18"/>
        </w:rPr>
        <w:t xml:space="preserve">. </w:t>
      </w:r>
      <w:r>
        <w:rPr>
          <w:rFonts w:hint="eastAsia" w:ascii="Arial" w:hAnsi="Arial" w:eastAsia="宋体" w:cs="Arial"/>
          <w:b/>
          <w:bCs/>
          <w:sz w:val="18"/>
          <w:szCs w:val="18"/>
        </w:rPr>
        <w:t xml:space="preserve">c </w:t>
      </w:r>
      <w:r>
        <w:rPr>
          <w:rFonts w:ascii="Arial" w:hAnsi="Arial" w:eastAsia="Gungsuh" w:cs="Arial"/>
          <w:sz w:val="18"/>
          <w:szCs w:val="18"/>
        </w:rPr>
        <w:t>Any two stages in after-transition period (IIB-IV) of</w:t>
      </w:r>
      <w:r>
        <w:rPr>
          <w:rFonts w:hint="eastAsia" w:ascii="Arial" w:hAnsi="Arial" w:eastAsia="宋体" w:cs="Arial"/>
          <w:sz w:val="18"/>
          <w:szCs w:val="18"/>
        </w:rPr>
        <w:t xml:space="preserve"> </w:t>
      </w:r>
      <w:r>
        <w:rPr>
          <w:rFonts w:ascii="Arial" w:hAnsi="Arial" w:eastAsia="Gungsuh" w:cs="Arial"/>
          <w:sz w:val="18"/>
          <w:szCs w:val="18"/>
        </w:rPr>
        <w:t>LUSC in survival analysis</w:t>
      </w:r>
      <w:r>
        <w:rPr>
          <w:rFonts w:hint="eastAsia" w:ascii="Arial" w:hAnsi="Arial" w:eastAsia="宋体" w:cs="Arial"/>
          <w:sz w:val="18"/>
          <w:szCs w:val="18"/>
        </w:rPr>
        <w:t xml:space="preserve">. </w:t>
      </w:r>
      <w:r>
        <w:rPr>
          <w:rFonts w:hint="eastAsia" w:ascii="Arial" w:hAnsi="Arial" w:eastAsia="宋体" w:cs="Arial"/>
          <w:b/>
          <w:bCs/>
          <w:sz w:val="18"/>
          <w:szCs w:val="18"/>
        </w:rPr>
        <w:t>d</w:t>
      </w:r>
      <w:r>
        <w:rPr>
          <w:rFonts w:hint="eastAsia" w:ascii="Arial" w:hAnsi="Arial" w:eastAsia="宋体" w:cs="Arial"/>
          <w:sz w:val="18"/>
          <w:szCs w:val="18"/>
        </w:rPr>
        <w:t xml:space="preserve"> </w:t>
      </w:r>
      <w:r>
        <w:rPr>
          <w:rFonts w:ascii="Arial" w:hAnsi="Arial" w:eastAsia="Gungsuh" w:cs="Arial"/>
          <w:sz w:val="18"/>
          <w:szCs w:val="18"/>
        </w:rPr>
        <w:t>The critical point (IIB) of LUAD vs the next stage of critical point (IIIA) of LUAD in survival analysis</w:t>
      </w:r>
      <w:r>
        <w:rPr>
          <w:rFonts w:hint="eastAsia" w:ascii="Arial" w:hAnsi="Arial" w:eastAsia="宋体" w:cs="Arial"/>
          <w:sz w:val="18"/>
          <w:szCs w:val="18"/>
        </w:rPr>
        <w:t xml:space="preserve">. </w:t>
      </w:r>
      <w:r>
        <w:rPr>
          <w:rFonts w:hint="eastAsia" w:ascii="Arial" w:hAnsi="Arial" w:eastAsia="宋体" w:cs="Arial"/>
          <w:b/>
          <w:bCs/>
          <w:sz w:val="18"/>
          <w:szCs w:val="18"/>
        </w:rPr>
        <w:t xml:space="preserve">e </w:t>
      </w:r>
      <w:r>
        <w:rPr>
          <w:rFonts w:ascii="Arial" w:hAnsi="Arial" w:eastAsia="Gungsuh" w:cs="Arial"/>
          <w:sz w:val="18"/>
          <w:szCs w:val="18"/>
        </w:rPr>
        <w:t>Any two stages in before-transition period (IA-IIA) of LUAD in survival analysis.</w:t>
      </w:r>
      <w:r>
        <w:rPr>
          <w:rFonts w:hint="eastAsia" w:ascii="Arial" w:hAnsi="Arial" w:eastAsia="宋体" w:cs="Arial"/>
          <w:b/>
          <w:bCs/>
          <w:sz w:val="18"/>
          <w:szCs w:val="18"/>
        </w:rPr>
        <w:t xml:space="preserve"> f</w:t>
      </w:r>
      <w:r>
        <w:rPr>
          <w:rFonts w:hint="eastAsia" w:ascii="Arial" w:hAnsi="Arial" w:eastAsia="宋体" w:cs="Arial"/>
          <w:sz w:val="18"/>
          <w:szCs w:val="18"/>
        </w:rPr>
        <w:t xml:space="preserve"> </w:t>
      </w:r>
      <w:r>
        <w:rPr>
          <w:rFonts w:ascii="Arial" w:hAnsi="Arial" w:eastAsia="Gungsuh" w:cs="Arial"/>
          <w:sz w:val="18"/>
          <w:szCs w:val="18"/>
        </w:rPr>
        <w:t>Any two stages in after-transition period (III</w:t>
      </w:r>
      <w:r>
        <w:rPr>
          <w:rFonts w:hint="eastAsia" w:ascii="Arial" w:hAnsi="Arial" w:eastAsia="宋体" w:cs="Arial"/>
          <w:sz w:val="18"/>
          <w:szCs w:val="18"/>
        </w:rPr>
        <w:t>A</w:t>
      </w:r>
      <w:r>
        <w:rPr>
          <w:rFonts w:ascii="Arial" w:hAnsi="Arial" w:eastAsia="Gungsuh" w:cs="Arial"/>
          <w:sz w:val="18"/>
          <w:szCs w:val="18"/>
        </w:rPr>
        <w:t>-IV) of</w:t>
      </w:r>
      <w:r>
        <w:rPr>
          <w:rFonts w:hint="eastAsia" w:ascii="Arial" w:hAnsi="Arial" w:eastAsia="宋体" w:cs="Arial"/>
          <w:sz w:val="18"/>
          <w:szCs w:val="18"/>
        </w:rPr>
        <w:t xml:space="preserve"> </w:t>
      </w:r>
      <w:r>
        <w:rPr>
          <w:rFonts w:ascii="Arial" w:hAnsi="Arial" w:eastAsia="Gungsuh" w:cs="Arial"/>
          <w:sz w:val="18"/>
          <w:szCs w:val="18"/>
        </w:rPr>
        <w:t>LUAD in survival analysis.</w:t>
      </w:r>
      <w:r>
        <w:rPr>
          <w:rFonts w:hint="eastAsia" w:ascii="Arial" w:hAnsi="Arial" w:eastAsia="宋体" w:cs="Arial"/>
          <w:sz w:val="18"/>
          <w:szCs w:val="18"/>
        </w:rPr>
        <w:t xml:space="preserve"> </w:t>
      </w:r>
      <w:r>
        <w:rPr>
          <w:rFonts w:hint="eastAsia" w:ascii="Arial" w:hAnsi="Arial" w:eastAsia="宋体" w:cs="Arial"/>
          <w:b/>
          <w:bCs/>
          <w:sz w:val="18"/>
          <w:szCs w:val="18"/>
        </w:rPr>
        <w:t>g</w:t>
      </w:r>
      <w:r>
        <w:rPr>
          <w:rFonts w:hint="eastAsia" w:ascii="Arial" w:hAnsi="Arial" w:eastAsia="宋体" w:cs="Arial"/>
          <w:sz w:val="18"/>
          <w:szCs w:val="18"/>
        </w:rPr>
        <w:t xml:space="preserve"> </w:t>
      </w:r>
      <w:r>
        <w:rPr>
          <w:rFonts w:ascii="Arial" w:hAnsi="Arial" w:eastAsia="Gungsuh" w:cs="Arial"/>
          <w:sz w:val="18"/>
          <w:szCs w:val="18"/>
        </w:rPr>
        <w:t>The critical point (IIIB) of STAD vs the next stage of critical point (IV) of STAD in survival analysis</w:t>
      </w:r>
      <w:r>
        <w:rPr>
          <w:rFonts w:hint="eastAsia" w:ascii="Arial" w:hAnsi="Arial" w:eastAsia="宋体" w:cs="Arial"/>
          <w:sz w:val="18"/>
          <w:szCs w:val="18"/>
        </w:rPr>
        <w:t xml:space="preserve">. </w:t>
      </w:r>
      <w:r>
        <w:rPr>
          <w:rFonts w:hint="eastAsia" w:ascii="Arial" w:hAnsi="Arial" w:eastAsia="宋体" w:cs="Arial"/>
          <w:b/>
          <w:bCs/>
          <w:sz w:val="18"/>
          <w:szCs w:val="18"/>
        </w:rPr>
        <w:t xml:space="preserve">h </w:t>
      </w:r>
      <w:r>
        <w:rPr>
          <w:rFonts w:ascii="Arial" w:hAnsi="Arial" w:eastAsia="Gungsuh" w:cs="Arial"/>
          <w:sz w:val="18"/>
          <w:szCs w:val="18"/>
        </w:rPr>
        <w:t>Any two stages in before-transition period (IA-IIIA) of STAD in survival analysis</w:t>
      </w:r>
      <w:r>
        <w:rPr>
          <w:rFonts w:hint="eastAsia" w:ascii="Arial" w:hAnsi="Arial" w:eastAsia="宋体" w:cs="Arial"/>
          <w:sz w:val="18"/>
          <w:szCs w:val="18"/>
        </w:rPr>
        <w:t>.</w:t>
      </w:r>
      <w:r>
        <w:rPr>
          <w:rFonts w:hint="eastAsia" w:ascii="Arial" w:hAnsi="Arial" w:eastAsia="宋体" w:cs="Arial"/>
          <w:b/>
          <w:bCs/>
          <w:sz w:val="18"/>
          <w:szCs w:val="18"/>
        </w:rPr>
        <w:t xml:space="preserve"> i </w:t>
      </w:r>
      <w:r>
        <w:rPr>
          <w:rFonts w:ascii="Arial" w:hAnsi="Arial" w:eastAsia="Gungsuh" w:cs="Arial"/>
          <w:sz w:val="18"/>
          <w:szCs w:val="18"/>
        </w:rPr>
        <w:t>Two stages in after-transition period (III-IV) of THCA in survival analysis</w:t>
      </w:r>
      <w:r>
        <w:rPr>
          <w:rFonts w:hint="eastAsia" w:ascii="Arial" w:hAnsi="Arial" w:eastAsia="宋体" w:cs="Arial"/>
          <w:sz w:val="18"/>
          <w:szCs w:val="18"/>
        </w:rPr>
        <w:t>.</w:t>
      </w:r>
      <w:r>
        <w:rPr>
          <w:rFonts w:hint="eastAsia" w:ascii="Arial" w:hAnsi="Arial" w:eastAsia="宋体" w:cs="Arial"/>
          <w:b/>
          <w:bCs/>
          <w:sz w:val="18"/>
          <w:szCs w:val="18"/>
        </w:rPr>
        <w:t xml:space="preserve"> j </w:t>
      </w:r>
      <w:r>
        <w:rPr>
          <w:rFonts w:ascii="Arial" w:hAnsi="Arial" w:eastAsia="Gungsuh" w:cs="Arial"/>
          <w:sz w:val="18"/>
          <w:szCs w:val="18"/>
        </w:rPr>
        <w:t>The critical point (II) of THCA vs the next stage of critical point (III) of THCA in survival analysis.</w:t>
      </w:r>
      <w:r>
        <w:rPr>
          <w:rFonts w:hint="eastAsia" w:ascii="Arial" w:hAnsi="Arial" w:eastAsia="宋体" w:cs="Arial"/>
          <w:sz w:val="18"/>
          <w:szCs w:val="18"/>
        </w:rPr>
        <w:t xml:space="preserve"> </w:t>
      </w:r>
      <w:r>
        <w:rPr>
          <w:rFonts w:hint="eastAsia" w:ascii="Arial" w:hAnsi="Arial" w:eastAsia="宋体" w:cs="Arial"/>
          <w:b/>
          <w:bCs/>
          <w:sz w:val="18"/>
          <w:szCs w:val="18"/>
        </w:rPr>
        <w:t>k</w:t>
      </w:r>
      <w:r>
        <w:rPr>
          <w:rFonts w:hint="eastAsia" w:ascii="Arial" w:hAnsi="Arial" w:eastAsia="宋体" w:cs="Arial"/>
          <w:sz w:val="18"/>
          <w:szCs w:val="18"/>
        </w:rPr>
        <w:t xml:space="preserve"> </w:t>
      </w:r>
      <w:r>
        <w:rPr>
          <w:rFonts w:ascii="Arial" w:hAnsi="Arial" w:eastAsia="Gungsuh" w:cs="Arial"/>
          <w:sz w:val="18"/>
          <w:szCs w:val="18"/>
        </w:rPr>
        <w:t xml:space="preserve">Two stages in after-transition period (III-IV) of COAD in survival analysis. </w:t>
      </w:r>
      <w:r>
        <w:rPr>
          <w:rFonts w:hint="eastAsia" w:ascii="Arial" w:hAnsi="Arial" w:eastAsia="宋体" w:cs="Arial"/>
          <w:b/>
          <w:bCs/>
          <w:sz w:val="18"/>
          <w:szCs w:val="18"/>
        </w:rPr>
        <w:t>I</w:t>
      </w:r>
      <w:r>
        <w:rPr>
          <w:rFonts w:hint="eastAsia" w:ascii="Arial" w:hAnsi="Arial" w:eastAsia="宋体" w:cs="Arial"/>
          <w:sz w:val="18"/>
          <w:szCs w:val="18"/>
        </w:rPr>
        <w:t xml:space="preserve"> </w:t>
      </w:r>
      <w:r>
        <w:rPr>
          <w:rFonts w:ascii="Arial" w:hAnsi="Arial" w:eastAsia="Gungsuh" w:cs="Arial"/>
          <w:sz w:val="18"/>
          <w:szCs w:val="18"/>
        </w:rPr>
        <w:t>The critical point (II) of COAD vs the next stage of critical point (III) of COAD in survival analysis.</w:t>
      </w:r>
    </w:p>
    <w:p>
      <w:pPr>
        <w:spacing w:before="156" w:beforeLines="50" w:after="156" w:afterLines="50" w:line="360" w:lineRule="auto"/>
        <w:rPr>
          <w:rFonts w:ascii="Arial" w:hAnsi="Arial" w:eastAsia="Gungsuh" w:cs="Arial"/>
          <w:sz w:val="18"/>
          <w:szCs w:val="18"/>
        </w:rPr>
      </w:pPr>
    </w:p>
    <w:p>
      <w:pPr>
        <w:widowControl/>
        <w:snapToGrid w:val="0"/>
        <w:spacing w:after="156" w:afterLines="50" w:line="360" w:lineRule="auto"/>
        <w:rPr>
          <w:rFonts w:ascii="Arial" w:hAnsi="Arial" w:cs="Arial"/>
          <w:sz w:val="20"/>
          <w:szCs w:val="20"/>
        </w:rPr>
      </w:pPr>
      <w:r>
        <w:rPr>
          <w:rFonts w:ascii="Arial" w:hAnsi="Arial" w:cs="Arial"/>
          <w:sz w:val="20"/>
          <w:szCs w:val="20"/>
        </w:rPr>
        <w:t xml:space="preserve">We </w:t>
      </w:r>
      <w:r>
        <w:rPr>
          <w:rFonts w:hint="eastAsia" w:ascii="Arial" w:hAnsi="Arial" w:cs="Arial"/>
          <w:sz w:val="20"/>
          <w:szCs w:val="20"/>
        </w:rPr>
        <w:t xml:space="preserve">also </w:t>
      </w:r>
      <w:r>
        <w:rPr>
          <w:rFonts w:ascii="Arial" w:hAnsi="Arial" w:cs="Arial"/>
          <w:sz w:val="20"/>
          <w:szCs w:val="20"/>
        </w:rPr>
        <w:t xml:space="preserve">carried out the survival analysis for the signaling genes of </w:t>
      </w:r>
      <w:r>
        <w:rPr>
          <w:rFonts w:ascii="Arial" w:hAnsi="Arial" w:eastAsia="宋体" w:cs="Arial"/>
          <w:color w:val="000000"/>
          <w:sz w:val="20"/>
          <w:szCs w:val="20"/>
          <w:shd w:val="clear" w:color="auto" w:fill="FFFFFF"/>
        </w:rPr>
        <w:t>LUSC, LUAD</w:t>
      </w:r>
      <w:r>
        <w:rPr>
          <w:rFonts w:hint="eastAsia" w:ascii="Arial" w:hAnsi="Arial" w:eastAsia="宋体" w:cs="Arial"/>
          <w:color w:val="000000"/>
          <w:sz w:val="20"/>
          <w:szCs w:val="20"/>
          <w:shd w:val="clear" w:color="auto" w:fill="FFFFFF"/>
        </w:rPr>
        <w:t xml:space="preserve">, </w:t>
      </w:r>
      <w:r>
        <w:rPr>
          <w:rFonts w:ascii="Arial" w:hAnsi="Arial" w:cs="Arial"/>
          <w:sz w:val="20"/>
          <w:szCs w:val="20"/>
        </w:rPr>
        <w:t xml:space="preserve">and </w:t>
      </w:r>
      <w:r>
        <w:rPr>
          <w:rFonts w:ascii="Arial" w:hAnsi="Arial" w:eastAsia="宋体" w:cs="Arial"/>
          <w:color w:val="000000"/>
          <w:sz w:val="20"/>
          <w:szCs w:val="20"/>
          <w:shd w:val="clear" w:color="auto" w:fill="FFFFFF"/>
        </w:rPr>
        <w:t>THCA</w:t>
      </w:r>
      <w:r>
        <w:rPr>
          <w:rFonts w:ascii="Arial" w:hAnsi="Arial" w:cs="Arial"/>
          <w:sz w:val="20"/>
          <w:szCs w:val="20"/>
        </w:rPr>
        <w:t xml:space="preserve">. As shown in </w:t>
      </w:r>
      <w:r>
        <w:rPr>
          <w:rStyle w:val="10"/>
          <w:rFonts w:hint="eastAsia" w:eastAsia="宋体"/>
          <w:color w:val="262626" w:themeColor="text1" w:themeTint="D9"/>
          <w14:textFill>
            <w14:solidFill>
              <w14:schemeClr w14:val="tx1">
                <w14:lumMod w14:val="85000"/>
                <w14:lumOff w14:val="15000"/>
              </w14:schemeClr>
            </w14:solidFill>
          </w14:textFill>
        </w:rPr>
        <w:t>Figure S6</w:t>
      </w:r>
      <w:r>
        <w:rPr>
          <w:rFonts w:ascii="Arial" w:hAnsi="Arial" w:cs="Arial"/>
          <w:sz w:val="20"/>
          <w:szCs w:val="20"/>
        </w:rPr>
        <w:t>, for LUSC, the survival rate of patients obviously decreased when genes such as B4GALNT4, POLR2J3</w:t>
      </w:r>
      <w:r>
        <w:rPr>
          <w:rFonts w:hint="eastAsia" w:ascii="Arial" w:hAnsi="Arial" w:cs="Arial"/>
          <w:sz w:val="20"/>
          <w:szCs w:val="20"/>
        </w:rPr>
        <w:t>,</w:t>
      </w:r>
      <w:r>
        <w:rPr>
          <w:rFonts w:ascii="Arial" w:hAnsi="Arial" w:cs="Arial"/>
          <w:sz w:val="20"/>
          <w:szCs w:val="20"/>
        </w:rPr>
        <w:t xml:space="preserve"> and NFKBIL2 expressed abnormally. For LUAD, the survival rate of patients significantly decreased when the genes such as ARSH, NR2E1</w:t>
      </w:r>
      <w:r>
        <w:rPr>
          <w:rFonts w:hint="eastAsia" w:ascii="Arial" w:hAnsi="Arial" w:cs="Arial"/>
          <w:sz w:val="20"/>
          <w:szCs w:val="20"/>
        </w:rPr>
        <w:t>,</w:t>
      </w:r>
      <w:r>
        <w:rPr>
          <w:rFonts w:ascii="Arial" w:hAnsi="Arial" w:cs="Arial"/>
          <w:sz w:val="20"/>
          <w:szCs w:val="20"/>
        </w:rPr>
        <w:t xml:space="preserve"> and SFXN1 expressed abnormally. For THCA, the survival rate of</w:t>
      </w:r>
      <w:r>
        <w:rPr>
          <w:rFonts w:hint="eastAsia" w:ascii="Arial" w:hAnsi="Arial" w:cs="Arial"/>
          <w:sz w:val="20"/>
          <w:szCs w:val="20"/>
        </w:rPr>
        <w:t xml:space="preserve"> </w:t>
      </w:r>
      <w:r>
        <w:rPr>
          <w:rFonts w:ascii="Arial" w:hAnsi="Arial" w:cs="Arial"/>
          <w:sz w:val="20"/>
          <w:szCs w:val="20"/>
        </w:rPr>
        <w:t>patients significantly decreased when the genes such as PPP1R15B, CTSD</w:t>
      </w:r>
      <w:r>
        <w:rPr>
          <w:rFonts w:hint="eastAsia" w:ascii="Arial" w:hAnsi="Arial" w:cs="Arial"/>
          <w:sz w:val="20"/>
          <w:szCs w:val="20"/>
        </w:rPr>
        <w:t>,</w:t>
      </w:r>
      <w:r>
        <w:rPr>
          <w:rFonts w:ascii="Arial" w:hAnsi="Arial" w:cs="Arial"/>
          <w:sz w:val="20"/>
          <w:szCs w:val="20"/>
        </w:rPr>
        <w:t xml:space="preserve"> and DCN expressed abnormally.</w:t>
      </w:r>
    </w:p>
    <w:p>
      <w:pPr>
        <w:widowControl/>
        <w:snapToGrid w:val="0"/>
        <w:spacing w:after="156" w:afterLines="50" w:line="360" w:lineRule="auto"/>
        <w:rPr>
          <w:rFonts w:ascii="Arial" w:hAnsi="Arial" w:cs="Arial"/>
          <w:sz w:val="20"/>
          <w:szCs w:val="20"/>
        </w:rPr>
      </w:pPr>
      <w:r>
        <w:rPr>
          <w:rFonts w:ascii="Arial" w:hAnsi="Arial" w:cs="Arial"/>
          <w:sz w:val="20"/>
          <w:szCs w:val="20"/>
        </w:rPr>
        <w:drawing>
          <wp:inline distT="0" distB="0" distL="114300" distR="114300">
            <wp:extent cx="5266055" cy="4648835"/>
            <wp:effectExtent l="0" t="0" r="10795" b="1841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81"/>
                    <a:stretch>
                      <a:fillRect/>
                    </a:stretch>
                  </pic:blipFill>
                  <pic:spPr>
                    <a:xfrm>
                      <a:off x="0" y="0"/>
                      <a:ext cx="5266055" cy="4648835"/>
                    </a:xfrm>
                    <a:prstGeom prst="rect">
                      <a:avLst/>
                    </a:prstGeom>
                  </pic:spPr>
                </pic:pic>
              </a:graphicData>
            </a:graphic>
          </wp:inline>
        </w:drawing>
      </w:r>
    </w:p>
    <w:p>
      <w:pPr>
        <w:widowControl/>
        <w:snapToGrid w:val="0"/>
        <w:spacing w:after="156" w:afterLines="50" w:line="360" w:lineRule="auto"/>
        <w:rPr>
          <w:rFonts w:ascii="Arial" w:hAnsi="Arial" w:cs="Arial"/>
          <w:sz w:val="18"/>
          <w:szCs w:val="18"/>
        </w:rPr>
      </w:pPr>
      <w:r>
        <w:rPr>
          <w:rFonts w:ascii="Arial" w:hAnsi="Arial" w:cs="Arial"/>
          <w:sz w:val="18"/>
          <w:szCs w:val="18"/>
        </w:rPr>
        <w:t xml:space="preserve">Figure </w:t>
      </w:r>
      <w:r>
        <w:rPr>
          <w:rFonts w:hint="eastAsia" w:ascii="Arial" w:hAnsi="Arial" w:cs="Arial"/>
          <w:sz w:val="18"/>
          <w:szCs w:val="18"/>
        </w:rPr>
        <w:t>S6</w:t>
      </w:r>
      <w:r>
        <w:rPr>
          <w:rFonts w:ascii="Arial" w:hAnsi="Arial" w:cs="Arial"/>
          <w:sz w:val="18"/>
          <w:szCs w:val="18"/>
        </w:rPr>
        <w:t>:</w:t>
      </w:r>
      <w:r>
        <w:rPr>
          <w:rFonts w:hint="eastAsia" w:ascii="Arial" w:hAnsi="Arial" w:cs="Arial"/>
          <w:sz w:val="18"/>
          <w:szCs w:val="18"/>
        </w:rPr>
        <w:t xml:space="preserve"> </w:t>
      </w:r>
      <w:r>
        <w:rPr>
          <w:rFonts w:ascii="Arial" w:hAnsi="Arial" w:cs="Arial"/>
          <w:sz w:val="18"/>
          <w:szCs w:val="18"/>
        </w:rPr>
        <w:t xml:space="preserve">Comparison of survival curves for the signaling genes of </w:t>
      </w:r>
      <w:r>
        <w:rPr>
          <w:rFonts w:ascii="Arial" w:hAnsi="Arial" w:eastAsia="宋体" w:cs="Arial"/>
          <w:color w:val="000000"/>
          <w:sz w:val="18"/>
          <w:szCs w:val="18"/>
          <w:shd w:val="clear" w:color="auto" w:fill="FFFFFF"/>
        </w:rPr>
        <w:t>LUSC, LUAD</w:t>
      </w:r>
      <w:r>
        <w:rPr>
          <w:rFonts w:ascii="Arial" w:hAnsi="Arial" w:cs="Arial"/>
          <w:sz w:val="18"/>
          <w:szCs w:val="18"/>
        </w:rPr>
        <w:t xml:space="preserve"> and </w:t>
      </w:r>
      <w:r>
        <w:rPr>
          <w:rFonts w:ascii="Arial" w:hAnsi="Arial" w:eastAsia="宋体" w:cs="Arial"/>
          <w:color w:val="000000"/>
          <w:sz w:val="18"/>
          <w:szCs w:val="18"/>
          <w:shd w:val="clear" w:color="auto" w:fill="FFFFFF"/>
        </w:rPr>
        <w:t>THCA</w:t>
      </w:r>
      <w:r>
        <w:rPr>
          <w:rFonts w:ascii="Arial" w:hAnsi="Arial" w:cs="Arial"/>
          <w:sz w:val="18"/>
          <w:szCs w:val="18"/>
        </w:rPr>
        <w:t>.</w:t>
      </w:r>
    </w:p>
    <w:p>
      <w:pPr>
        <w:spacing w:before="156" w:beforeLines="50" w:after="156" w:afterLines="50" w:line="360" w:lineRule="auto"/>
        <w:rPr>
          <w:rFonts w:ascii="Arial" w:hAnsi="Arial" w:eastAsia="Gungsuh" w:cs="Arial"/>
          <w:sz w:val="20"/>
          <w:szCs w:val="20"/>
        </w:rPr>
      </w:pPr>
    </w:p>
    <w:p>
      <w:pPr>
        <w:spacing w:before="156" w:beforeLines="50" w:after="156" w:afterLines="50" w:line="360" w:lineRule="auto"/>
        <w:rPr>
          <w:rFonts w:ascii="Arial" w:hAnsi="Arial" w:eastAsia="Gungsuh" w:cs="Arial"/>
          <w:sz w:val="20"/>
          <w:szCs w:val="20"/>
        </w:rPr>
      </w:pPr>
    </w:p>
    <w:p>
      <w:pPr>
        <w:spacing w:before="156" w:beforeLines="50" w:after="156" w:afterLines="50" w:line="360" w:lineRule="auto"/>
        <w:rPr>
          <w:rFonts w:ascii="Arial" w:hAnsi="Arial" w:eastAsia="Gungsuh" w:cs="Arial"/>
          <w:sz w:val="20"/>
          <w:szCs w:val="20"/>
        </w:rPr>
      </w:pPr>
    </w:p>
    <w:p>
      <w:pPr>
        <w:spacing w:before="156" w:beforeLines="50" w:after="156" w:afterLines="50" w:line="360" w:lineRule="auto"/>
        <w:rPr>
          <w:rFonts w:ascii="Arial" w:hAnsi="Arial" w:eastAsia="Gungsuh" w:cs="Arial"/>
          <w:sz w:val="20"/>
          <w:szCs w:val="20"/>
        </w:rPr>
      </w:pPr>
    </w:p>
    <w:p>
      <w:pPr>
        <w:spacing w:before="156" w:beforeLines="50" w:after="156" w:afterLines="50" w:line="360" w:lineRule="auto"/>
        <w:rPr>
          <w:rFonts w:ascii="Arial" w:hAnsi="Arial" w:eastAsia="Gungsuh" w:cs="Arial"/>
          <w:sz w:val="20"/>
          <w:szCs w:val="20"/>
        </w:rPr>
      </w:pPr>
    </w:p>
    <w:p>
      <w:pPr>
        <w:spacing w:before="156" w:beforeLines="50" w:after="156" w:afterLines="50" w:line="360" w:lineRule="auto"/>
        <w:rPr>
          <w:rStyle w:val="10"/>
          <w:rFonts w:eastAsia="宋体"/>
          <w:b/>
          <w:bCs/>
          <w:color w:val="262626" w:themeColor="text1" w:themeTint="D9"/>
          <w:sz w:val="24"/>
          <w:szCs w:val="24"/>
          <w14:textFill>
            <w14:solidFill>
              <w14:schemeClr w14:val="tx1">
                <w14:lumMod w14:val="85000"/>
                <w14:lumOff w14:val="15000"/>
              </w14:schemeClr>
            </w14:solidFill>
          </w14:textFill>
        </w:rPr>
      </w:pPr>
      <w:r>
        <w:rPr>
          <w:rStyle w:val="10"/>
          <w:rFonts w:hint="eastAsia" w:eastAsia="宋体"/>
          <w:b/>
          <w:bCs/>
          <w:color w:val="auto"/>
          <w:sz w:val="24"/>
          <w:szCs w:val="24"/>
        </w:rPr>
        <w:t xml:space="preserve">C. The </w:t>
      </w:r>
      <w:r>
        <w:rPr>
          <w:rStyle w:val="10"/>
          <w:b/>
          <w:bCs/>
          <w:color w:val="262626" w:themeColor="text1" w:themeTint="D9"/>
          <w:sz w:val="24"/>
          <w:szCs w:val="24"/>
          <w14:textFill>
            <w14:solidFill>
              <w14:schemeClr w14:val="tx1">
                <w14:lumMod w14:val="85000"/>
                <w14:lumOff w14:val="15000"/>
              </w14:schemeClr>
            </w14:solidFill>
          </w14:textFill>
        </w:rPr>
        <w:t>functional analysis</w:t>
      </w:r>
      <w:r>
        <w:rPr>
          <w:rStyle w:val="10"/>
          <w:rFonts w:hint="eastAsia" w:eastAsia="宋体"/>
          <w:b/>
          <w:bCs/>
          <w:color w:val="262626" w:themeColor="text1" w:themeTint="D9"/>
          <w:sz w:val="24"/>
          <w:szCs w:val="24"/>
          <w14:textFill>
            <w14:solidFill>
              <w14:schemeClr w14:val="tx1">
                <w14:lumMod w14:val="85000"/>
                <w14:lumOff w14:val="15000"/>
              </w14:schemeClr>
            </w14:solidFill>
          </w14:textFill>
        </w:rPr>
        <w:t xml:space="preserve"> for THCA and CAOD</w:t>
      </w:r>
    </w:p>
    <w:p>
      <w:pPr>
        <w:spacing w:before="156" w:beforeLines="50" w:after="156" w:afterLines="50" w:line="360" w:lineRule="auto"/>
        <w:rPr>
          <w:rStyle w:val="10"/>
          <w:rFonts w:eastAsia="宋体"/>
          <w:b/>
          <w:bCs/>
          <w:color w:val="262626" w:themeColor="text1" w:themeTint="D9"/>
          <w:sz w:val="22"/>
          <w:szCs w:val="22"/>
          <w14:textFill>
            <w14:solidFill>
              <w14:schemeClr w14:val="tx1">
                <w14:lumMod w14:val="85000"/>
                <w14:lumOff w14:val="15000"/>
              </w14:schemeClr>
            </w14:solidFill>
          </w14:textFill>
        </w:rPr>
      </w:pPr>
      <w:r>
        <w:rPr>
          <w:rStyle w:val="11"/>
          <w:rFonts w:hint="eastAsia" w:ascii="Arial" w:hAnsi="Arial" w:eastAsia="宋体" w:cs="Arial"/>
          <w:b/>
          <w:bCs/>
          <w:color w:val="0D0D0D" w:themeColor="text1" w:themeTint="F2"/>
          <w:sz w:val="20"/>
          <w:szCs w:val="20"/>
          <w14:textFill>
            <w14:solidFill>
              <w14:schemeClr w14:val="tx1">
                <w14:lumMod w14:val="95000"/>
                <w14:lumOff w14:val="5000"/>
              </w14:schemeClr>
            </w14:solidFill>
          </w14:textFill>
        </w:rPr>
        <w:t xml:space="preserve">C1. </w:t>
      </w:r>
      <w:r>
        <w:rPr>
          <w:rStyle w:val="11"/>
          <w:rFonts w:hint="eastAsia" w:ascii="Arial" w:hAnsi="Arial" w:eastAsia="宋体" w:cs="Arial"/>
          <w:b/>
          <w:bCs/>
          <w:color w:val="0D0D0D" w:themeColor="text1" w:themeTint="F2"/>
          <w:sz w:val="22"/>
          <w:szCs w:val="22"/>
          <w14:textFill>
            <w14:solidFill>
              <w14:schemeClr w14:val="tx1">
                <w14:lumMod w14:val="95000"/>
                <w14:lumOff w14:val="5000"/>
              </w14:schemeClr>
            </w14:solidFill>
          </w14:textFill>
        </w:rPr>
        <w:t xml:space="preserve">The </w:t>
      </w:r>
      <w:r>
        <w:rPr>
          <w:rStyle w:val="10"/>
          <w:b/>
          <w:bCs/>
          <w:color w:val="262626" w:themeColor="text1" w:themeTint="D9"/>
          <w:sz w:val="22"/>
          <w:szCs w:val="22"/>
          <w14:textFill>
            <w14:solidFill>
              <w14:schemeClr w14:val="tx1">
                <w14:lumMod w14:val="85000"/>
                <w14:lumOff w14:val="15000"/>
              </w14:schemeClr>
            </w14:solidFill>
          </w14:textFill>
        </w:rPr>
        <w:t>functional analysis</w:t>
      </w:r>
      <w:r>
        <w:rPr>
          <w:rStyle w:val="10"/>
          <w:rFonts w:hint="eastAsia" w:eastAsia="宋体"/>
          <w:b/>
          <w:bCs/>
          <w:color w:val="262626" w:themeColor="text1" w:themeTint="D9"/>
          <w:sz w:val="22"/>
          <w:szCs w:val="22"/>
          <w14:textFill>
            <w14:solidFill>
              <w14:schemeClr w14:val="tx1">
                <w14:lumMod w14:val="85000"/>
                <w14:lumOff w14:val="15000"/>
              </w14:schemeClr>
            </w14:solidFill>
          </w14:textFill>
        </w:rPr>
        <w:t xml:space="preserve"> for THCA</w:t>
      </w:r>
    </w:p>
    <w:p>
      <w:pPr>
        <w:pStyle w:val="12"/>
        <w:snapToGrid w:val="0"/>
        <w:spacing w:before="156" w:beforeLines="50" w:after="156" w:afterLines="50" w:line="360" w:lineRule="auto"/>
        <w:jc w:val="both"/>
        <w:rPr>
          <w:rFonts w:ascii="Arial" w:hAnsi="Arial" w:eastAsia="宋体" w:cs="Arial"/>
          <w:color w:val="262626"/>
          <w:sz w:val="20"/>
          <w:szCs w:val="20"/>
        </w:rPr>
      </w:pPr>
      <w:r>
        <w:rPr>
          <w:rFonts w:ascii="Arial" w:hAnsi="Arial" w:cs="Arial"/>
          <w:color w:val="262626"/>
          <w:sz w:val="20"/>
          <w:szCs w:val="20"/>
        </w:rPr>
        <w:t xml:space="preserve">Some </w:t>
      </w:r>
      <w:r>
        <w:rPr>
          <w:rStyle w:val="10"/>
          <w:rFonts w:eastAsia="宋体"/>
          <w:color w:val="262626"/>
        </w:rPr>
        <w:t>“</w:t>
      </w:r>
      <w:r>
        <w:rPr>
          <w:rStyle w:val="10"/>
          <w:color w:val="262626"/>
        </w:rPr>
        <w:t>sKLD-signaling genes</w:t>
      </w:r>
      <w:r>
        <w:rPr>
          <w:rStyle w:val="10"/>
          <w:rFonts w:eastAsia="宋体"/>
          <w:color w:val="262626"/>
        </w:rPr>
        <w:t xml:space="preserve">” </w:t>
      </w:r>
      <w:r>
        <w:rPr>
          <w:rFonts w:ascii="Arial" w:hAnsi="Arial" w:cs="Arial"/>
          <w:color w:val="262626"/>
          <w:sz w:val="20"/>
          <w:szCs w:val="20"/>
        </w:rPr>
        <w:t>have been shown to be associated with the process of cancer THCA t</w:t>
      </w:r>
      <w:r>
        <w:rPr>
          <w:rFonts w:ascii="Arial" w:hAnsi="Arial" w:eastAsia="宋体" w:cs="Arial"/>
          <w:color w:val="262626"/>
          <w:sz w:val="20"/>
          <w:szCs w:val="20"/>
        </w:rPr>
        <w:t>hrough literature searching</w:t>
      </w:r>
      <w:r>
        <w:rPr>
          <w:rFonts w:hint="eastAsia" w:ascii="Arial" w:hAnsi="Arial" w:eastAsia="宋体" w:cs="Arial"/>
          <w:color w:val="262626"/>
          <w:sz w:val="20"/>
          <w:szCs w:val="20"/>
        </w:rPr>
        <w:t xml:space="preserve"> (</w:t>
      </w:r>
      <w:r>
        <w:rPr>
          <w:rFonts w:ascii="Arial" w:hAnsi="Arial" w:eastAsia="Gungsuh" w:cs="Arial"/>
          <w:color w:val="auto"/>
          <w:sz w:val="18"/>
          <w:szCs w:val="18"/>
        </w:rPr>
        <w:t>S</w:t>
      </w:r>
      <w:r>
        <w:rPr>
          <w:rFonts w:hint="eastAsia" w:ascii="Arial" w:hAnsi="Arial" w:eastAsia="宋体" w:cs="Arial"/>
          <w:color w:val="auto"/>
          <w:sz w:val="18"/>
          <w:szCs w:val="18"/>
        </w:rPr>
        <w:t>2</w:t>
      </w:r>
      <w:r>
        <w:rPr>
          <w:rFonts w:ascii="Arial" w:hAnsi="Arial" w:eastAsia="Gungsuh" w:cs="Arial"/>
          <w:color w:val="auto"/>
          <w:sz w:val="18"/>
          <w:szCs w:val="18"/>
        </w:rPr>
        <w:t xml:space="preserve"> Table</w:t>
      </w:r>
      <w:r>
        <w:rPr>
          <w:rFonts w:hint="eastAsia" w:ascii="Arial" w:hAnsi="Arial" w:eastAsia="宋体" w:cs="Arial"/>
          <w:color w:val="262626"/>
          <w:sz w:val="20"/>
          <w:szCs w:val="20"/>
        </w:rPr>
        <w:t>)</w:t>
      </w:r>
      <w:r>
        <w:rPr>
          <w:rFonts w:ascii="Arial" w:hAnsi="Arial" w:eastAsia="MS Mincho" w:cs="Arial"/>
          <w:color w:val="262626"/>
          <w:sz w:val="20"/>
          <w:szCs w:val="20"/>
          <w:lang w:eastAsia="ja-JP"/>
        </w:rPr>
        <w:t>.</w:t>
      </w:r>
      <w:r>
        <w:rPr>
          <w:rFonts w:ascii="Arial" w:hAnsi="Arial" w:eastAsia="宋体" w:cs="Arial"/>
          <w:color w:val="262626"/>
          <w:sz w:val="20"/>
          <w:szCs w:val="20"/>
        </w:rPr>
        <w:t xml:space="preserve"> For example, FCGBP expression is reduced in thyroid cancer, which might suggest FCGBP</w:t>
      </w:r>
      <w:r>
        <w:rPr>
          <w:rFonts w:hint="eastAsia" w:ascii="Arial" w:hAnsi="Arial" w:eastAsia="宋体" w:cs="Arial"/>
          <w:color w:val="262626"/>
          <w:sz w:val="20"/>
          <w:szCs w:val="20"/>
        </w:rPr>
        <w:t xml:space="preserve"> </w:t>
      </w:r>
      <w:r>
        <w:rPr>
          <w:rFonts w:ascii="Arial" w:hAnsi="Arial" w:eastAsia="宋体" w:cs="Arial"/>
          <w:color w:val="262626"/>
          <w:sz w:val="20"/>
          <w:szCs w:val="20"/>
        </w:rPr>
        <w:t>plays an important role in thyroid cell division and migration</w:t>
      </w:r>
      <w:r>
        <w:rPr>
          <w:rFonts w:hint="eastAsia" w:ascii="Arial" w:hAnsi="Arial" w:eastAsia="宋体" w:cs="Arial"/>
          <w:color w:val="262626"/>
          <w:sz w:val="20"/>
          <w:szCs w:val="20"/>
        </w:rPr>
        <w:t xml:space="preserve"> [7]</w:t>
      </w:r>
      <w:r>
        <w:rPr>
          <w:rFonts w:ascii="Arial" w:hAnsi="Arial" w:eastAsia="宋体" w:cs="Arial"/>
          <w:color w:val="262626"/>
          <w:sz w:val="20"/>
          <w:szCs w:val="20"/>
        </w:rPr>
        <w:t>. Methylation of GPX3 is related to tumor size and lymph node metastasis in human thyroid cancer and GPX3 can suppress metastasis of thyroid cancer through inhibition Wnt/β-catenin signaling</w:t>
      </w:r>
      <w:r>
        <w:rPr>
          <w:rFonts w:hint="eastAsia" w:ascii="Arial" w:hAnsi="Arial" w:eastAsia="宋体" w:cs="Arial"/>
          <w:color w:val="262626"/>
          <w:sz w:val="20"/>
          <w:szCs w:val="20"/>
        </w:rPr>
        <w:t xml:space="preserve"> [8]</w:t>
      </w:r>
      <w:r>
        <w:rPr>
          <w:rFonts w:ascii="Arial" w:hAnsi="Arial" w:eastAsia="宋体" w:cs="Arial"/>
          <w:color w:val="262626"/>
          <w:sz w:val="20"/>
          <w:szCs w:val="20"/>
        </w:rPr>
        <w:t>. The high expression of GABRB2 likely induces more lymph node metastasis in thyroid carcinoma</w:t>
      </w:r>
      <w:r>
        <w:rPr>
          <w:rFonts w:hint="eastAsia" w:ascii="Arial" w:hAnsi="Arial" w:eastAsia="宋体" w:cs="Arial"/>
          <w:color w:val="262626"/>
          <w:sz w:val="20"/>
          <w:szCs w:val="20"/>
        </w:rPr>
        <w:t xml:space="preserve"> [9]</w:t>
      </w:r>
      <w:r>
        <w:rPr>
          <w:rFonts w:ascii="Arial" w:hAnsi="Arial" w:eastAsia="宋体" w:cs="Arial"/>
          <w:color w:val="262626"/>
          <w:sz w:val="20"/>
          <w:szCs w:val="20"/>
        </w:rPr>
        <w:t>. MiR-204-5p can suppress cell proliferation by inhibiting IGFBP5 in papillary thyroid carcinoma</w:t>
      </w:r>
      <w:r>
        <w:rPr>
          <w:rFonts w:hint="eastAsia" w:ascii="Arial" w:hAnsi="Arial" w:eastAsia="宋体" w:cs="Arial"/>
          <w:color w:val="262626"/>
          <w:sz w:val="20"/>
          <w:szCs w:val="20"/>
        </w:rPr>
        <w:t xml:space="preserve"> [10]</w:t>
      </w:r>
      <w:r>
        <w:rPr>
          <w:rFonts w:ascii="Arial" w:hAnsi="Arial" w:eastAsia="宋体" w:cs="Arial"/>
          <w:color w:val="262626"/>
          <w:sz w:val="20"/>
          <w:szCs w:val="20"/>
        </w:rPr>
        <w:t>. TIMP3 can regulate migration, invasion and in vivo tumorigenicity of thyroid tumor cells</w:t>
      </w:r>
      <w:r>
        <w:rPr>
          <w:rFonts w:hint="eastAsia" w:ascii="Arial" w:hAnsi="Arial" w:eastAsia="宋体" w:cs="Arial"/>
          <w:color w:val="262626"/>
          <w:sz w:val="20"/>
          <w:szCs w:val="20"/>
        </w:rPr>
        <w:t xml:space="preserve"> [11]</w:t>
      </w:r>
      <w:r>
        <w:rPr>
          <w:rFonts w:ascii="Arial" w:hAnsi="Arial" w:eastAsia="宋体" w:cs="Arial"/>
          <w:color w:val="262626"/>
          <w:sz w:val="20"/>
          <w:szCs w:val="20"/>
        </w:rPr>
        <w:t>. METTL7B can promote migration and invasion in thyroid cancer through epithelial-mesenchymal transition</w:t>
      </w:r>
      <w:r>
        <w:rPr>
          <w:rFonts w:hint="eastAsia" w:ascii="Arial" w:hAnsi="Arial" w:eastAsia="宋体" w:cs="Arial"/>
          <w:color w:val="262626"/>
          <w:sz w:val="20"/>
          <w:szCs w:val="20"/>
        </w:rPr>
        <w:t xml:space="preserve"> [12]</w:t>
      </w:r>
      <w:r>
        <w:rPr>
          <w:rFonts w:ascii="Arial" w:hAnsi="Arial" w:eastAsia="宋体" w:cs="Arial"/>
          <w:color w:val="262626"/>
          <w:sz w:val="20"/>
          <w:szCs w:val="20"/>
        </w:rPr>
        <w:t>. High expression of NEAT1 promoted the onset of thyroid carcinoma. In addition, NEAT1 promoted the malignant progression of thyroid cancer through regulating miRNA</w:t>
      </w:r>
      <w:r>
        <w:rPr>
          <w:rFonts w:hint="eastAsia" w:ascii="Arial" w:hAnsi="Arial" w:eastAsia="宋体" w:cs="Arial"/>
          <w:color w:val="262626"/>
          <w:sz w:val="20"/>
          <w:szCs w:val="20"/>
        </w:rPr>
        <w:t>-</w:t>
      </w:r>
      <w:r>
        <w:rPr>
          <w:rFonts w:ascii="Arial" w:hAnsi="Arial" w:eastAsia="宋体" w:cs="Arial"/>
          <w:color w:val="262626"/>
          <w:sz w:val="20"/>
          <w:szCs w:val="20"/>
        </w:rPr>
        <w:t>214 expression</w:t>
      </w:r>
      <w:r>
        <w:rPr>
          <w:rFonts w:hint="eastAsia" w:ascii="Arial" w:hAnsi="Arial" w:eastAsia="宋体" w:cs="Arial"/>
          <w:color w:val="262626"/>
          <w:sz w:val="20"/>
          <w:szCs w:val="20"/>
        </w:rPr>
        <w:t xml:space="preserve"> [13]</w:t>
      </w:r>
      <w:r>
        <w:rPr>
          <w:rFonts w:ascii="Arial" w:hAnsi="Arial" w:eastAsia="宋体" w:cs="Arial"/>
          <w:color w:val="262626"/>
          <w:sz w:val="20"/>
          <w:szCs w:val="20"/>
        </w:rPr>
        <w:t>. LRIG1 functions as a thyroid tumor suppressor and plays an important role in the progression of thyroid cancer</w:t>
      </w:r>
      <w:r>
        <w:rPr>
          <w:rFonts w:hint="eastAsia" w:ascii="Arial" w:hAnsi="Arial" w:eastAsia="宋体" w:cs="Arial"/>
          <w:color w:val="262626"/>
          <w:sz w:val="20"/>
          <w:szCs w:val="20"/>
        </w:rPr>
        <w:t xml:space="preserve"> [14]</w:t>
      </w:r>
      <w:r>
        <w:rPr>
          <w:rFonts w:ascii="Arial" w:hAnsi="Arial" w:eastAsia="宋体" w:cs="Arial"/>
          <w:color w:val="262626"/>
          <w:sz w:val="20"/>
          <w:szCs w:val="20"/>
        </w:rPr>
        <w:t>.</w:t>
      </w:r>
    </w:p>
    <w:p>
      <w:pPr>
        <w:pStyle w:val="12"/>
        <w:snapToGrid w:val="0"/>
        <w:spacing w:before="156" w:beforeLines="50" w:after="156" w:afterLines="50" w:line="360" w:lineRule="auto"/>
        <w:jc w:val="both"/>
        <w:rPr>
          <w:rFonts w:ascii="Arial" w:hAnsi="Arial" w:eastAsia="宋体" w:cs="Arial"/>
          <w:color w:val="262626"/>
          <w:sz w:val="20"/>
          <w:szCs w:val="20"/>
        </w:rPr>
      </w:pPr>
      <w:r>
        <w:rPr>
          <w:rStyle w:val="10"/>
          <w:color w:val="262626"/>
        </w:rPr>
        <w:t>Besides,</w:t>
      </w:r>
      <w:r>
        <w:rPr>
          <w:rStyle w:val="10"/>
          <w:rFonts w:eastAsia="宋体"/>
          <w:color w:val="262626"/>
        </w:rPr>
        <w:t xml:space="preserve"> </w:t>
      </w:r>
      <w:r>
        <w:rPr>
          <w:rFonts w:ascii="Arial" w:hAnsi="Arial" w:eastAsia="宋体" w:cs="Arial"/>
          <w:color w:val="262626"/>
          <w:sz w:val="20"/>
          <w:szCs w:val="20"/>
        </w:rPr>
        <w:t xml:space="preserve">through GO analysis, </w:t>
      </w:r>
      <w:r>
        <w:rPr>
          <w:rFonts w:ascii="Arial" w:hAnsi="Arial" w:cs="Arial"/>
          <w:color w:val="262626"/>
          <w:sz w:val="20"/>
          <w:szCs w:val="20"/>
        </w:rPr>
        <w:t xml:space="preserve">the common </w:t>
      </w:r>
      <w:r>
        <w:rPr>
          <w:rStyle w:val="10"/>
          <w:rFonts w:eastAsia="宋体"/>
          <w:color w:val="262626"/>
        </w:rPr>
        <w:t>“</w:t>
      </w:r>
      <w:r>
        <w:rPr>
          <w:rStyle w:val="10"/>
          <w:color w:val="262626"/>
        </w:rPr>
        <w:t>sKLD-signaling genes</w:t>
      </w:r>
      <w:r>
        <w:rPr>
          <w:rStyle w:val="10"/>
          <w:rFonts w:eastAsia="宋体"/>
          <w:color w:val="262626"/>
        </w:rPr>
        <w:t>”</w:t>
      </w:r>
      <w:r>
        <w:rPr>
          <w:rFonts w:ascii="Arial" w:hAnsi="Arial" w:cs="Arial"/>
          <w:color w:val="262626"/>
          <w:sz w:val="20"/>
          <w:szCs w:val="20"/>
        </w:rPr>
        <w:t xml:space="preserve"> are highly related to functions annotation, such as </w:t>
      </w:r>
      <w:r>
        <w:rPr>
          <w:rFonts w:ascii="Arial" w:hAnsi="Arial" w:eastAsia="宋体" w:cs="Arial"/>
          <w:color w:val="262626"/>
          <w:sz w:val="20"/>
          <w:szCs w:val="20"/>
        </w:rPr>
        <w:t>thyroid hormone generation, signal transduction,</w:t>
      </w:r>
      <w:r>
        <w:rPr>
          <w:rFonts w:hint="eastAsia" w:ascii="Arial" w:hAnsi="Arial" w:eastAsia="宋体" w:cs="Arial"/>
          <w:color w:val="262626"/>
          <w:sz w:val="20"/>
          <w:szCs w:val="20"/>
        </w:rPr>
        <w:t xml:space="preserve"> </w:t>
      </w:r>
      <w:r>
        <w:rPr>
          <w:rFonts w:ascii="Arial" w:hAnsi="Arial" w:eastAsia="宋体" w:cs="Arial"/>
          <w:color w:val="262626"/>
          <w:sz w:val="20"/>
          <w:szCs w:val="20"/>
        </w:rPr>
        <w:t>nervous system development and others</w:t>
      </w:r>
      <w:r>
        <w:rPr>
          <w:rFonts w:hint="eastAsia" w:ascii="Arial" w:hAnsi="Arial" w:eastAsia="宋体" w:cs="Arial"/>
          <w:color w:val="262626"/>
          <w:sz w:val="20"/>
          <w:szCs w:val="20"/>
        </w:rPr>
        <w:t xml:space="preserve"> (</w:t>
      </w:r>
      <w:r>
        <w:rPr>
          <w:rFonts w:ascii="Arial" w:hAnsi="Arial" w:eastAsia="Gungsuh" w:cs="Arial"/>
          <w:color w:val="auto"/>
          <w:sz w:val="20"/>
          <w:szCs w:val="20"/>
        </w:rPr>
        <w:t>S</w:t>
      </w:r>
      <w:r>
        <w:rPr>
          <w:rFonts w:hint="eastAsia" w:ascii="Arial" w:hAnsi="Arial" w:eastAsia="宋体" w:cs="Arial"/>
          <w:color w:val="auto"/>
          <w:sz w:val="20"/>
          <w:szCs w:val="20"/>
        </w:rPr>
        <w:t>3</w:t>
      </w:r>
      <w:r>
        <w:rPr>
          <w:rFonts w:ascii="Arial" w:hAnsi="Arial" w:eastAsia="Gungsuh" w:cs="Arial"/>
          <w:color w:val="auto"/>
          <w:sz w:val="20"/>
          <w:szCs w:val="20"/>
        </w:rPr>
        <w:t xml:space="preserve"> Table</w:t>
      </w:r>
      <w:r>
        <w:rPr>
          <w:rFonts w:hint="eastAsia" w:ascii="Arial" w:hAnsi="Arial" w:eastAsia="宋体" w:cs="Arial"/>
          <w:color w:val="262626"/>
          <w:sz w:val="20"/>
          <w:szCs w:val="20"/>
        </w:rPr>
        <w:t>)</w:t>
      </w:r>
      <w:r>
        <w:rPr>
          <w:rFonts w:ascii="Arial" w:hAnsi="Arial" w:cs="Arial"/>
          <w:color w:val="262626"/>
          <w:sz w:val="20"/>
          <w:szCs w:val="20"/>
        </w:rPr>
        <w:t xml:space="preserve">. </w:t>
      </w:r>
      <w:r>
        <w:rPr>
          <w:rFonts w:ascii="Arial" w:hAnsi="Arial" w:eastAsia="宋体" w:cs="Arial"/>
          <w:color w:val="262626"/>
          <w:sz w:val="20"/>
          <w:szCs w:val="20"/>
        </w:rPr>
        <w:t xml:space="preserve">These biological processes are associated with the progression of cancer. Moreover, according to IPA, </w:t>
      </w:r>
      <w:r>
        <w:rPr>
          <w:rFonts w:ascii="Arial" w:hAnsi="Arial" w:cs="Arial"/>
          <w:color w:val="262626"/>
          <w:sz w:val="20"/>
          <w:szCs w:val="20"/>
        </w:rPr>
        <w:t xml:space="preserve">the common </w:t>
      </w:r>
      <w:r>
        <w:rPr>
          <w:rStyle w:val="10"/>
          <w:rFonts w:eastAsia="宋体"/>
          <w:color w:val="262626"/>
        </w:rPr>
        <w:t>“</w:t>
      </w:r>
      <w:r>
        <w:rPr>
          <w:rStyle w:val="10"/>
          <w:color w:val="262626"/>
        </w:rPr>
        <w:t>sKLD-signaling genes</w:t>
      </w:r>
      <w:r>
        <w:rPr>
          <w:rStyle w:val="10"/>
          <w:rFonts w:eastAsia="宋体"/>
          <w:color w:val="262626"/>
        </w:rPr>
        <w:t>”</w:t>
      </w:r>
      <w:r>
        <w:rPr>
          <w:rFonts w:ascii="Arial" w:hAnsi="Arial" w:eastAsia="宋体" w:cs="Arial"/>
          <w:color w:val="262626"/>
          <w:sz w:val="20"/>
          <w:szCs w:val="20"/>
        </w:rPr>
        <w:t xml:space="preserve"> are associated with thyroid gland tumor, thyroid cancer, cell proliferation of tumor cell lines, etc.</w:t>
      </w:r>
      <w:r>
        <w:rPr>
          <w:rFonts w:hint="eastAsia" w:ascii="Arial" w:hAnsi="Arial" w:eastAsia="宋体" w:cs="Arial"/>
          <w:color w:val="262626"/>
          <w:sz w:val="20"/>
          <w:szCs w:val="20"/>
        </w:rPr>
        <w:t xml:space="preserve"> (</w:t>
      </w:r>
      <w:r>
        <w:rPr>
          <w:rFonts w:ascii="Arial" w:hAnsi="Arial" w:eastAsia="Gungsuh" w:cs="Arial"/>
          <w:color w:val="auto"/>
          <w:sz w:val="20"/>
          <w:szCs w:val="20"/>
        </w:rPr>
        <w:t>S</w:t>
      </w:r>
      <w:r>
        <w:rPr>
          <w:rFonts w:hint="eastAsia" w:ascii="Arial" w:hAnsi="Arial" w:eastAsia="宋体" w:cs="Arial"/>
          <w:color w:val="auto"/>
          <w:sz w:val="20"/>
          <w:szCs w:val="20"/>
        </w:rPr>
        <w:t>3</w:t>
      </w:r>
      <w:r>
        <w:rPr>
          <w:rFonts w:ascii="Arial" w:hAnsi="Arial" w:eastAsia="Gungsuh" w:cs="Arial"/>
          <w:color w:val="auto"/>
          <w:sz w:val="20"/>
          <w:szCs w:val="20"/>
        </w:rPr>
        <w:t xml:space="preserve"> Table</w:t>
      </w:r>
      <w:r>
        <w:rPr>
          <w:rFonts w:hint="eastAsia" w:ascii="Arial" w:hAnsi="Arial" w:eastAsia="宋体" w:cs="Arial"/>
          <w:color w:val="262626"/>
          <w:sz w:val="20"/>
          <w:szCs w:val="20"/>
        </w:rPr>
        <w:t>)</w:t>
      </w:r>
      <w:r>
        <w:rPr>
          <w:rFonts w:ascii="Arial" w:hAnsi="Arial" w:eastAsia="宋体" w:cs="Arial"/>
          <w:color w:val="262626"/>
          <w:sz w:val="20"/>
          <w:szCs w:val="20"/>
        </w:rPr>
        <w:t>.</w:t>
      </w:r>
    </w:p>
    <w:p>
      <w:pPr>
        <w:pStyle w:val="12"/>
        <w:spacing w:before="156" w:beforeLines="50" w:after="156" w:afterLines="50" w:line="240" w:lineRule="auto"/>
        <w:jc w:val="both"/>
        <w:rPr>
          <w:rFonts w:ascii="Arial" w:hAnsi="Arial" w:eastAsia="Gungsuh" w:cs="Arial"/>
          <w:color w:val="auto"/>
          <w:sz w:val="18"/>
          <w:szCs w:val="18"/>
        </w:rPr>
      </w:pPr>
      <w:r>
        <w:rPr>
          <w:rFonts w:ascii="Arial" w:hAnsi="Arial" w:eastAsia="Gungsuh" w:cs="Arial"/>
          <w:b/>
          <w:bCs/>
          <w:color w:val="auto"/>
          <w:sz w:val="20"/>
          <w:szCs w:val="20"/>
        </w:rPr>
        <w:t>Table</w:t>
      </w:r>
      <w:r>
        <w:rPr>
          <w:rFonts w:hint="eastAsia" w:ascii="Arial" w:hAnsi="Arial" w:eastAsia="宋体" w:cs="Arial"/>
          <w:b/>
          <w:bCs/>
          <w:color w:val="auto"/>
          <w:sz w:val="20"/>
          <w:szCs w:val="20"/>
        </w:rPr>
        <w:t xml:space="preserve"> S2 </w:t>
      </w:r>
      <w:r>
        <w:rPr>
          <w:rFonts w:ascii="Arial" w:hAnsi="Arial" w:eastAsia="Gungsuh" w:cs="Arial"/>
          <w:b/>
          <w:color w:val="auto"/>
          <w:sz w:val="20"/>
          <w:szCs w:val="20"/>
        </w:rPr>
        <w:t xml:space="preserve">Genes with high frequency in 44 </w:t>
      </w:r>
      <w:r>
        <w:rPr>
          <w:rStyle w:val="10"/>
          <w:rFonts w:eastAsia="Gungsuh"/>
          <w:b/>
          <w:color w:val="262626" w:themeColor="text1" w:themeTint="D9"/>
          <w14:textFill>
            <w14:solidFill>
              <w14:schemeClr w14:val="tx1">
                <w14:lumMod w14:val="85000"/>
                <w14:lumOff w14:val="15000"/>
              </w14:schemeClr>
            </w14:solidFill>
          </w14:textFill>
        </w:rPr>
        <w:t>“sKLD-signaling genes”</w:t>
      </w:r>
      <w:r>
        <w:rPr>
          <w:rFonts w:ascii="Arial" w:hAnsi="Arial" w:eastAsia="Gungsuh" w:cs="Arial"/>
          <w:b/>
          <w:color w:val="auto"/>
          <w:sz w:val="20"/>
          <w:szCs w:val="20"/>
        </w:rPr>
        <w:t xml:space="preserve"> groups in the critical stage (stage II) for THCA. </w:t>
      </w:r>
    </w:p>
    <w:tbl>
      <w:tblPr>
        <w:tblStyle w:val="5"/>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135"/>
        <w:gridCol w:w="1227"/>
        <w:gridCol w:w="1142"/>
        <w:gridCol w:w="4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88" w:type="dxa"/>
            <w:shd w:val="clear" w:color="auto" w:fill="9CC2E5" w:themeFill="accent1" w:themeFillTint="99"/>
            <w:vAlign w:val="center"/>
          </w:tcPr>
          <w:p>
            <w:pPr>
              <w:widowControl/>
              <w:spacing w:before="156" w:beforeLines="50" w:after="156" w:afterLines="50"/>
              <w:jc w:val="center"/>
              <w:textAlignment w:val="center"/>
              <w:rPr>
                <w:rFonts w:ascii="Arial" w:hAnsi="Arial" w:cs="Arial"/>
                <w:b/>
                <w:bCs/>
                <w:sz w:val="16"/>
                <w:szCs w:val="16"/>
              </w:rPr>
            </w:pPr>
            <w:r>
              <w:rPr>
                <w:rFonts w:ascii="Arial" w:hAnsi="Arial" w:eastAsia="宋体" w:cs="Arial"/>
                <w:b/>
                <w:bCs/>
                <w:color w:val="000000"/>
                <w:kern w:val="0"/>
                <w:sz w:val="18"/>
                <w:szCs w:val="18"/>
                <w:lang w:bidi="ar"/>
              </w:rPr>
              <w:t>Gene</w:t>
            </w:r>
          </w:p>
        </w:tc>
        <w:tc>
          <w:tcPr>
            <w:tcW w:w="1135" w:type="dxa"/>
            <w:shd w:val="clear" w:color="auto" w:fill="FBE5D6" w:themeFill="accent2" w:themeFillTint="32"/>
            <w:vAlign w:val="center"/>
          </w:tcPr>
          <w:p>
            <w:pPr>
              <w:widowControl/>
              <w:spacing w:before="156" w:beforeLines="50" w:after="156" w:afterLines="50"/>
              <w:jc w:val="center"/>
              <w:textAlignment w:val="center"/>
              <w:rPr>
                <w:rFonts w:ascii="Arial" w:hAnsi="Arial" w:cs="Arial"/>
                <w:b/>
                <w:bCs/>
                <w:sz w:val="16"/>
                <w:szCs w:val="16"/>
              </w:rPr>
            </w:pPr>
            <w:r>
              <w:rPr>
                <w:rFonts w:ascii="Arial" w:hAnsi="Arial" w:eastAsia="宋体" w:cs="Arial"/>
                <w:b/>
                <w:bCs/>
                <w:color w:val="000000"/>
                <w:kern w:val="0"/>
                <w:sz w:val="18"/>
                <w:szCs w:val="18"/>
                <w:lang w:bidi="ar"/>
              </w:rPr>
              <w:t>Frequency</w:t>
            </w:r>
          </w:p>
        </w:tc>
        <w:tc>
          <w:tcPr>
            <w:tcW w:w="1227" w:type="dxa"/>
            <w:shd w:val="clear" w:color="auto" w:fill="FBE5D6" w:themeFill="accent2" w:themeFillTint="32"/>
            <w:vAlign w:val="center"/>
          </w:tcPr>
          <w:p>
            <w:pPr>
              <w:widowControl/>
              <w:spacing w:before="156" w:beforeLines="50" w:after="156" w:afterLines="50"/>
              <w:jc w:val="center"/>
              <w:textAlignment w:val="center"/>
              <w:rPr>
                <w:rFonts w:ascii="Arial" w:hAnsi="Arial" w:cs="Arial"/>
                <w:b/>
                <w:bCs/>
                <w:sz w:val="16"/>
                <w:szCs w:val="16"/>
              </w:rPr>
            </w:pPr>
            <w:r>
              <w:rPr>
                <w:rFonts w:ascii="Arial" w:hAnsi="Arial" w:eastAsia="宋体" w:cs="Arial"/>
                <w:b/>
                <w:bCs/>
                <w:color w:val="000000"/>
                <w:kern w:val="0"/>
                <w:sz w:val="18"/>
                <w:szCs w:val="18"/>
                <w:lang w:bidi="ar"/>
              </w:rPr>
              <w:t>Location</w:t>
            </w:r>
          </w:p>
        </w:tc>
        <w:tc>
          <w:tcPr>
            <w:tcW w:w="1142" w:type="dxa"/>
            <w:shd w:val="clear" w:color="auto" w:fill="FBE5D6" w:themeFill="accent2" w:themeFillTint="32"/>
            <w:vAlign w:val="center"/>
          </w:tcPr>
          <w:p>
            <w:pPr>
              <w:widowControl/>
              <w:spacing w:before="156" w:beforeLines="50" w:after="156" w:afterLines="50"/>
              <w:jc w:val="center"/>
              <w:textAlignment w:val="center"/>
              <w:rPr>
                <w:rFonts w:ascii="Arial" w:hAnsi="Arial" w:cs="Arial"/>
                <w:b/>
                <w:bCs/>
                <w:sz w:val="16"/>
                <w:szCs w:val="16"/>
              </w:rPr>
            </w:pPr>
            <w:r>
              <w:rPr>
                <w:rFonts w:ascii="Arial" w:hAnsi="Arial" w:eastAsia="宋体" w:cs="Arial"/>
                <w:b/>
                <w:bCs/>
                <w:color w:val="000000"/>
                <w:kern w:val="0"/>
                <w:sz w:val="18"/>
                <w:szCs w:val="18"/>
                <w:lang w:bidi="ar"/>
              </w:rPr>
              <w:t>Family*</w:t>
            </w:r>
          </w:p>
        </w:tc>
        <w:tc>
          <w:tcPr>
            <w:tcW w:w="4434" w:type="dxa"/>
            <w:shd w:val="clear" w:color="auto" w:fill="FBE5D6" w:themeFill="accent2" w:themeFillTint="32"/>
            <w:vAlign w:val="center"/>
          </w:tcPr>
          <w:p>
            <w:pPr>
              <w:widowControl/>
              <w:spacing w:before="156" w:beforeLines="50" w:after="156" w:afterLines="50"/>
              <w:jc w:val="center"/>
              <w:textAlignment w:val="center"/>
              <w:rPr>
                <w:rFonts w:ascii="Arial" w:hAnsi="Arial" w:cs="Arial"/>
                <w:b/>
                <w:bCs/>
                <w:sz w:val="16"/>
                <w:szCs w:val="16"/>
              </w:rPr>
            </w:pPr>
            <w:r>
              <w:rPr>
                <w:rFonts w:ascii="Arial" w:hAnsi="Arial" w:eastAsia="宋体" w:cs="Arial"/>
                <w:color w:val="000000"/>
                <w:kern w:val="0"/>
                <w:sz w:val="18"/>
                <w:szCs w:val="18"/>
                <w:lang w:bidi="ar"/>
              </w:rPr>
              <w:t>Relation with cancer progression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88" w:type="dxa"/>
            <w:shd w:val="clear" w:color="auto" w:fill="9CC2E5" w:themeFill="accent1" w:themeFillTint="99"/>
            <w:vAlign w:val="center"/>
          </w:tcPr>
          <w:p>
            <w:pPr>
              <w:widowControl/>
              <w:spacing w:before="156" w:beforeLines="50" w:after="156" w:afterLines="50"/>
              <w:jc w:val="center"/>
              <w:textAlignment w:val="center"/>
              <w:rPr>
                <w:rFonts w:ascii="Arial" w:hAnsi="Arial" w:cs="Arial"/>
                <w:b/>
                <w:bCs/>
                <w:sz w:val="16"/>
                <w:szCs w:val="16"/>
              </w:rPr>
            </w:pPr>
            <w:r>
              <w:rPr>
                <w:rFonts w:ascii="Arial" w:hAnsi="Arial" w:eastAsia="宋体" w:cs="Arial"/>
                <w:color w:val="000000"/>
                <w:kern w:val="0"/>
                <w:sz w:val="18"/>
                <w:szCs w:val="18"/>
                <w:lang w:bidi="ar"/>
              </w:rPr>
              <w:t>FCGBP</w:t>
            </w:r>
          </w:p>
        </w:tc>
        <w:tc>
          <w:tcPr>
            <w:tcW w:w="113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41</w:t>
            </w:r>
          </w:p>
        </w:tc>
        <w:tc>
          <w:tcPr>
            <w:tcW w:w="1227"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Extracellular Space</w:t>
            </w:r>
          </w:p>
        </w:tc>
        <w:tc>
          <w:tcPr>
            <w:tcW w:w="1142"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other</w:t>
            </w:r>
          </w:p>
        </w:tc>
        <w:tc>
          <w:tcPr>
            <w:tcW w:w="4434"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FCGBP expression is reduced in thyroid cancer, which might suggest FCGBP  plays an important role in thyroid cell division and migration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88" w:type="dxa"/>
            <w:shd w:val="clear" w:color="auto" w:fill="9CC2E5" w:themeFill="accent1" w:themeFillTint="99"/>
            <w:vAlign w:val="center"/>
          </w:tcPr>
          <w:p>
            <w:pPr>
              <w:widowControl/>
              <w:spacing w:before="156" w:beforeLines="50" w:after="156" w:afterLines="50"/>
              <w:jc w:val="center"/>
              <w:textAlignment w:val="center"/>
              <w:rPr>
                <w:rFonts w:ascii="Arial" w:hAnsi="Arial" w:cs="Arial"/>
                <w:b/>
                <w:bCs/>
                <w:sz w:val="16"/>
                <w:szCs w:val="16"/>
              </w:rPr>
            </w:pPr>
            <w:r>
              <w:rPr>
                <w:rFonts w:ascii="Arial" w:hAnsi="Arial" w:eastAsia="宋体" w:cs="Arial"/>
                <w:color w:val="000000"/>
                <w:kern w:val="0"/>
                <w:sz w:val="18"/>
                <w:szCs w:val="18"/>
                <w:lang w:bidi="ar"/>
              </w:rPr>
              <w:t>GPX3</w:t>
            </w:r>
          </w:p>
        </w:tc>
        <w:tc>
          <w:tcPr>
            <w:tcW w:w="113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41</w:t>
            </w:r>
          </w:p>
        </w:tc>
        <w:tc>
          <w:tcPr>
            <w:tcW w:w="1227"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Extracellular Space</w:t>
            </w:r>
          </w:p>
        </w:tc>
        <w:tc>
          <w:tcPr>
            <w:tcW w:w="1142"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enzyme</w:t>
            </w:r>
          </w:p>
        </w:tc>
        <w:tc>
          <w:tcPr>
            <w:tcW w:w="4434"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Methylation of GPX3 is related to tumor size and lymph node metastasis in human thyroid cancer and GPX3 can suppress metastasis of thyroid cancer through inhibition Wnt/β-catenin signaling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shd w:val="clear" w:color="auto" w:fill="9CC2E5" w:themeFill="accent1" w:themeFillTint="99"/>
            <w:vAlign w:val="center"/>
          </w:tcPr>
          <w:p>
            <w:pPr>
              <w:widowControl/>
              <w:spacing w:before="156" w:beforeLines="50" w:after="156" w:afterLines="50"/>
              <w:jc w:val="center"/>
              <w:textAlignment w:val="center"/>
              <w:rPr>
                <w:rFonts w:ascii="Arial" w:hAnsi="Arial" w:eastAsia="宋体" w:cs="Arial"/>
                <w:b/>
                <w:bCs/>
                <w:sz w:val="16"/>
                <w:szCs w:val="16"/>
              </w:rPr>
            </w:pPr>
            <w:r>
              <w:rPr>
                <w:rFonts w:ascii="Arial" w:hAnsi="Arial" w:eastAsia="宋体" w:cs="Arial"/>
                <w:color w:val="000000"/>
                <w:kern w:val="0"/>
                <w:sz w:val="18"/>
                <w:szCs w:val="18"/>
                <w:lang w:bidi="ar"/>
              </w:rPr>
              <w:t>GABRB2</w:t>
            </w:r>
          </w:p>
        </w:tc>
        <w:tc>
          <w:tcPr>
            <w:tcW w:w="113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40</w:t>
            </w:r>
          </w:p>
        </w:tc>
        <w:tc>
          <w:tcPr>
            <w:tcW w:w="1227"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Plasma Membrane</w:t>
            </w:r>
          </w:p>
        </w:tc>
        <w:tc>
          <w:tcPr>
            <w:tcW w:w="1142"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ion channel</w:t>
            </w:r>
          </w:p>
        </w:tc>
        <w:tc>
          <w:tcPr>
            <w:tcW w:w="4434"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The high expression of GABRB2 likely induces more lymph node metastasis in thyroid carcinoma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88" w:type="dxa"/>
            <w:shd w:val="clear" w:color="auto" w:fill="9CC2E5" w:themeFill="accent1" w:themeFillTint="99"/>
            <w:vAlign w:val="center"/>
          </w:tcPr>
          <w:p>
            <w:pPr>
              <w:widowControl/>
              <w:spacing w:before="156" w:beforeLines="50" w:after="156" w:afterLines="50"/>
              <w:jc w:val="center"/>
              <w:textAlignment w:val="center"/>
              <w:rPr>
                <w:rFonts w:ascii="Arial" w:hAnsi="Arial" w:eastAsia="宋体" w:cs="Arial"/>
                <w:b/>
                <w:bCs/>
                <w:sz w:val="16"/>
                <w:szCs w:val="16"/>
              </w:rPr>
            </w:pPr>
            <w:r>
              <w:rPr>
                <w:rFonts w:ascii="Arial" w:hAnsi="Arial" w:eastAsia="宋体" w:cs="Arial"/>
                <w:color w:val="000000"/>
                <w:kern w:val="0"/>
                <w:sz w:val="18"/>
                <w:szCs w:val="18"/>
                <w:lang w:bidi="ar"/>
              </w:rPr>
              <w:t>IGFBP5</w:t>
            </w:r>
          </w:p>
        </w:tc>
        <w:tc>
          <w:tcPr>
            <w:tcW w:w="113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39</w:t>
            </w:r>
          </w:p>
        </w:tc>
        <w:tc>
          <w:tcPr>
            <w:tcW w:w="1227"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Extracellular Space</w:t>
            </w:r>
          </w:p>
        </w:tc>
        <w:tc>
          <w:tcPr>
            <w:tcW w:w="1142"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other</w:t>
            </w:r>
          </w:p>
        </w:tc>
        <w:tc>
          <w:tcPr>
            <w:tcW w:w="4434"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MiR-204-5p can suppress cell proliferation by inhibiting IGFBP5 in papillary thyroid carcinoma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88" w:type="dxa"/>
            <w:shd w:val="clear" w:color="auto" w:fill="9CC2E5" w:themeFill="accent1" w:themeFillTint="99"/>
            <w:vAlign w:val="center"/>
          </w:tcPr>
          <w:p>
            <w:pPr>
              <w:widowControl/>
              <w:spacing w:before="156" w:beforeLines="50" w:after="156" w:afterLines="50"/>
              <w:jc w:val="center"/>
              <w:textAlignment w:val="center"/>
              <w:rPr>
                <w:rFonts w:ascii="Arial" w:hAnsi="Arial" w:eastAsia="宋体" w:cs="Arial"/>
                <w:b/>
                <w:bCs/>
                <w:sz w:val="16"/>
                <w:szCs w:val="16"/>
              </w:rPr>
            </w:pPr>
            <w:r>
              <w:rPr>
                <w:rFonts w:ascii="Arial" w:hAnsi="Arial" w:eastAsia="宋体" w:cs="Arial"/>
                <w:color w:val="000000"/>
                <w:kern w:val="0"/>
                <w:sz w:val="18"/>
                <w:szCs w:val="18"/>
                <w:lang w:bidi="ar"/>
              </w:rPr>
              <w:t>TIMP3</w:t>
            </w:r>
          </w:p>
        </w:tc>
        <w:tc>
          <w:tcPr>
            <w:tcW w:w="113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38</w:t>
            </w:r>
          </w:p>
        </w:tc>
        <w:tc>
          <w:tcPr>
            <w:tcW w:w="1227"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Extracellular Space</w:t>
            </w:r>
          </w:p>
        </w:tc>
        <w:tc>
          <w:tcPr>
            <w:tcW w:w="1142"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other</w:t>
            </w:r>
          </w:p>
        </w:tc>
        <w:tc>
          <w:tcPr>
            <w:tcW w:w="4434"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TIMP3 can regulate migration, invasion and in vivo tumorigenicity of thyroid tumor cells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88" w:type="dxa"/>
            <w:shd w:val="clear" w:color="auto" w:fill="9CC2E5" w:themeFill="accent1" w:themeFillTint="99"/>
            <w:vAlign w:val="center"/>
          </w:tcPr>
          <w:p>
            <w:pPr>
              <w:widowControl/>
              <w:spacing w:before="156" w:beforeLines="50" w:after="156" w:afterLines="50"/>
              <w:jc w:val="center"/>
              <w:textAlignment w:val="center"/>
              <w:rPr>
                <w:rFonts w:ascii="Arial" w:hAnsi="Arial" w:eastAsia="宋体" w:cs="Arial"/>
                <w:b/>
                <w:bCs/>
                <w:sz w:val="16"/>
                <w:szCs w:val="16"/>
              </w:rPr>
            </w:pPr>
            <w:r>
              <w:rPr>
                <w:rFonts w:ascii="Arial" w:hAnsi="Arial" w:eastAsia="宋体" w:cs="Arial"/>
                <w:color w:val="000000"/>
                <w:kern w:val="0"/>
                <w:sz w:val="18"/>
                <w:szCs w:val="18"/>
                <w:lang w:bidi="ar"/>
              </w:rPr>
              <w:t>METTL7B</w:t>
            </w:r>
          </w:p>
        </w:tc>
        <w:tc>
          <w:tcPr>
            <w:tcW w:w="113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38</w:t>
            </w:r>
          </w:p>
        </w:tc>
        <w:tc>
          <w:tcPr>
            <w:tcW w:w="1227"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Other</w:t>
            </w:r>
          </w:p>
        </w:tc>
        <w:tc>
          <w:tcPr>
            <w:tcW w:w="1142"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enzyme</w:t>
            </w:r>
          </w:p>
        </w:tc>
        <w:tc>
          <w:tcPr>
            <w:tcW w:w="4434"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METTL7B can promote migration and invasion in thyroid cancer through epithelial-mesenchymal transition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88" w:type="dxa"/>
            <w:shd w:val="clear" w:color="auto" w:fill="9CC2E5" w:themeFill="accent1" w:themeFillTint="99"/>
            <w:vAlign w:val="center"/>
          </w:tcPr>
          <w:p>
            <w:pPr>
              <w:widowControl/>
              <w:spacing w:before="156" w:beforeLines="50" w:after="156" w:afterLines="50"/>
              <w:jc w:val="center"/>
              <w:textAlignment w:val="center"/>
              <w:rPr>
                <w:rFonts w:ascii="Arial" w:hAnsi="Arial" w:eastAsia="宋体" w:cs="Arial"/>
                <w:b/>
                <w:bCs/>
                <w:sz w:val="16"/>
                <w:szCs w:val="16"/>
              </w:rPr>
            </w:pPr>
            <w:r>
              <w:rPr>
                <w:rFonts w:ascii="Arial" w:hAnsi="Arial" w:eastAsia="宋体" w:cs="Arial"/>
                <w:color w:val="000000"/>
                <w:kern w:val="0"/>
                <w:sz w:val="18"/>
                <w:szCs w:val="18"/>
                <w:lang w:bidi="ar"/>
              </w:rPr>
              <w:t>NEAT1</w:t>
            </w:r>
          </w:p>
        </w:tc>
        <w:tc>
          <w:tcPr>
            <w:tcW w:w="113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37</w:t>
            </w:r>
          </w:p>
        </w:tc>
        <w:tc>
          <w:tcPr>
            <w:tcW w:w="1227"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Other</w:t>
            </w:r>
          </w:p>
        </w:tc>
        <w:tc>
          <w:tcPr>
            <w:tcW w:w="1142"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other</w:t>
            </w:r>
          </w:p>
        </w:tc>
        <w:tc>
          <w:tcPr>
            <w:tcW w:w="4434"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High expression of NEAT1 promoted the onset of thyroid carcinoma. In addition, NEAT1 promoted the malignant progression of thyroid cancer through regulating miRNA</w:t>
            </w:r>
            <w:r>
              <w:rPr>
                <w:rFonts w:ascii="Arial" w:hAnsi="Arial" w:eastAsia="宋体" w:cs="Arial"/>
                <w:color w:val="000000"/>
                <w:kern w:val="0"/>
                <w:sz w:val="18"/>
                <w:szCs w:val="18"/>
                <w:lang w:bidi="ar"/>
              </w:rPr>
              <w:noBreakHyphen/>
            </w:r>
            <w:r>
              <w:rPr>
                <w:rFonts w:ascii="Arial" w:hAnsi="Arial" w:eastAsia="宋体" w:cs="Arial"/>
                <w:color w:val="000000"/>
                <w:kern w:val="0"/>
                <w:sz w:val="18"/>
                <w:szCs w:val="18"/>
                <w:lang w:bidi="ar"/>
              </w:rPr>
              <w:t>214 expression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88" w:type="dxa"/>
            <w:shd w:val="clear" w:color="auto" w:fill="9CC2E5" w:themeFill="accent1" w:themeFillTint="99"/>
            <w:vAlign w:val="center"/>
          </w:tcPr>
          <w:p>
            <w:pPr>
              <w:widowControl/>
              <w:spacing w:before="156" w:beforeLines="50" w:after="156" w:afterLines="50"/>
              <w:jc w:val="center"/>
              <w:textAlignment w:val="center"/>
              <w:rPr>
                <w:rFonts w:ascii="Arial" w:hAnsi="Arial" w:eastAsia="宋体" w:cs="Arial"/>
                <w:b/>
                <w:bCs/>
                <w:sz w:val="16"/>
                <w:szCs w:val="16"/>
              </w:rPr>
            </w:pPr>
            <w:r>
              <w:rPr>
                <w:rFonts w:ascii="Arial" w:hAnsi="Arial" w:eastAsia="宋体" w:cs="Arial"/>
                <w:color w:val="000000"/>
                <w:kern w:val="0"/>
                <w:sz w:val="18"/>
                <w:szCs w:val="18"/>
                <w:lang w:bidi="ar"/>
              </w:rPr>
              <w:t>LRIG1</w:t>
            </w:r>
          </w:p>
        </w:tc>
        <w:tc>
          <w:tcPr>
            <w:tcW w:w="113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37</w:t>
            </w:r>
          </w:p>
        </w:tc>
        <w:tc>
          <w:tcPr>
            <w:tcW w:w="1227"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Extracellular Space</w:t>
            </w:r>
          </w:p>
        </w:tc>
        <w:tc>
          <w:tcPr>
            <w:tcW w:w="1142"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other</w:t>
            </w:r>
          </w:p>
        </w:tc>
        <w:tc>
          <w:tcPr>
            <w:tcW w:w="4434"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LRIG1 functions as a thyroid tumor suppressor and plays an important role in the progression of thyroid cancer [8].</w:t>
            </w:r>
          </w:p>
        </w:tc>
      </w:tr>
    </w:tbl>
    <w:p>
      <w:pPr>
        <w:pStyle w:val="12"/>
        <w:spacing w:before="156" w:beforeLines="50" w:after="156" w:afterLines="50" w:line="240" w:lineRule="auto"/>
        <w:jc w:val="both"/>
        <w:rPr>
          <w:rFonts w:ascii="Arial" w:hAnsi="Arial" w:eastAsia="Gungsuh" w:cs="Arial"/>
          <w:b/>
          <w:bCs/>
          <w:color w:val="auto"/>
          <w:sz w:val="20"/>
          <w:szCs w:val="20"/>
        </w:rPr>
      </w:pPr>
    </w:p>
    <w:p>
      <w:pPr>
        <w:pStyle w:val="12"/>
        <w:spacing w:before="156" w:beforeLines="50" w:after="156" w:afterLines="50" w:line="240" w:lineRule="auto"/>
        <w:jc w:val="both"/>
        <w:rPr>
          <w:rFonts w:ascii="Arial" w:hAnsi="Arial" w:eastAsia="Gungsuh" w:cs="Arial"/>
          <w:b/>
          <w:bCs/>
          <w:color w:val="auto"/>
          <w:sz w:val="18"/>
          <w:szCs w:val="18"/>
        </w:rPr>
      </w:pPr>
      <w:r>
        <w:rPr>
          <w:rFonts w:ascii="Arial" w:hAnsi="Arial" w:eastAsia="Gungsuh" w:cs="Arial"/>
          <w:b/>
          <w:bCs/>
          <w:color w:val="auto"/>
          <w:sz w:val="20"/>
          <w:szCs w:val="20"/>
        </w:rPr>
        <w:t>Table</w:t>
      </w:r>
      <w:r>
        <w:rPr>
          <w:rFonts w:hint="eastAsia" w:ascii="Arial" w:hAnsi="Arial" w:eastAsia="宋体" w:cs="Arial"/>
          <w:b/>
          <w:bCs/>
          <w:color w:val="auto"/>
          <w:sz w:val="20"/>
          <w:szCs w:val="20"/>
        </w:rPr>
        <w:t xml:space="preserve"> </w:t>
      </w:r>
      <w:r>
        <w:rPr>
          <w:rFonts w:ascii="Arial" w:hAnsi="Arial" w:eastAsia="Gungsuh" w:cs="Arial"/>
          <w:b/>
          <w:bCs/>
          <w:color w:val="auto"/>
          <w:sz w:val="20"/>
          <w:szCs w:val="20"/>
        </w:rPr>
        <w:t>S</w:t>
      </w:r>
      <w:r>
        <w:rPr>
          <w:rFonts w:hint="eastAsia" w:ascii="Arial" w:hAnsi="Arial" w:eastAsia="宋体" w:cs="Arial"/>
          <w:b/>
          <w:bCs/>
          <w:color w:val="auto"/>
          <w:sz w:val="20"/>
          <w:szCs w:val="20"/>
        </w:rPr>
        <w:t xml:space="preserve">3 </w:t>
      </w:r>
      <w:r>
        <w:rPr>
          <w:rFonts w:ascii="Arial" w:hAnsi="Arial" w:eastAsia="Gungsuh" w:cs="Arial"/>
          <w:b/>
          <w:color w:val="auto"/>
          <w:sz w:val="20"/>
          <w:szCs w:val="20"/>
        </w:rPr>
        <w:t>Functional enrichment of co</w:t>
      </w:r>
      <w:r>
        <w:rPr>
          <w:rFonts w:ascii="Arial" w:hAnsi="Arial" w:eastAsia="Gungsuh" w:cs="Arial"/>
          <w:b/>
          <w:color w:val="262626" w:themeColor="text1" w:themeTint="D9"/>
          <w:sz w:val="20"/>
          <w:szCs w:val="20"/>
          <w14:textFill>
            <w14:solidFill>
              <w14:schemeClr w14:val="tx1">
                <w14:lumMod w14:val="85000"/>
                <w14:lumOff w14:val="15000"/>
              </w14:schemeClr>
            </w14:solidFill>
          </w14:textFill>
        </w:rPr>
        <w:t xml:space="preserve">mmon </w:t>
      </w:r>
      <w:r>
        <w:rPr>
          <w:rStyle w:val="10"/>
          <w:rFonts w:eastAsia="Gungsuh"/>
          <w:b/>
          <w:color w:val="262626" w:themeColor="text1" w:themeTint="D9"/>
          <w14:textFill>
            <w14:solidFill>
              <w14:schemeClr w14:val="tx1">
                <w14:lumMod w14:val="85000"/>
                <w14:lumOff w14:val="15000"/>
              </w14:schemeClr>
            </w14:solidFill>
          </w14:textFill>
        </w:rPr>
        <w:t>“sKLD-signaling genes”</w:t>
      </w:r>
      <w:r>
        <w:rPr>
          <w:rFonts w:ascii="Arial" w:hAnsi="Arial" w:eastAsia="Gungsuh" w:cs="Arial"/>
          <w:b/>
          <w:color w:val="262626" w:themeColor="text1" w:themeTint="D9"/>
          <w:sz w:val="20"/>
          <w:szCs w:val="20"/>
          <w14:textFill>
            <w14:solidFill>
              <w14:schemeClr w14:val="tx1">
                <w14:lumMod w14:val="85000"/>
                <w14:lumOff w14:val="15000"/>
              </w14:schemeClr>
            </w14:solidFill>
          </w14:textFill>
        </w:rPr>
        <w:t xml:space="preserve"> </w:t>
      </w:r>
      <w:r>
        <w:rPr>
          <w:rFonts w:ascii="Arial" w:hAnsi="Arial" w:eastAsia="Gungsuh" w:cs="Arial"/>
          <w:b/>
          <w:color w:val="auto"/>
          <w:sz w:val="20"/>
          <w:szCs w:val="20"/>
        </w:rPr>
        <w:t>in the critical</w:t>
      </w:r>
      <w:r>
        <w:rPr>
          <w:rFonts w:ascii="Arial" w:hAnsi="Arial" w:eastAsia="Gungsuh" w:cs="Arial"/>
          <w:b/>
          <w:color w:val="auto"/>
          <w:sz w:val="20"/>
          <w:szCs w:val="20"/>
          <w:lang w:eastAsia="ja-JP"/>
        </w:rPr>
        <w:t xml:space="preserve"> </w:t>
      </w:r>
      <w:r>
        <w:rPr>
          <w:rFonts w:ascii="Arial" w:hAnsi="Arial" w:eastAsia="Gungsuh" w:cs="Arial"/>
          <w:b/>
          <w:color w:val="auto"/>
          <w:sz w:val="20"/>
          <w:szCs w:val="20"/>
        </w:rPr>
        <w:t xml:space="preserve">stage samples for THCA. </w:t>
      </w:r>
      <w:r>
        <w:rPr>
          <w:rFonts w:ascii="Arial" w:hAnsi="Arial" w:eastAsia="Gungsuh" w:cs="Arial"/>
          <w:b/>
          <w:bCs/>
          <w:color w:val="auto"/>
          <w:sz w:val="18"/>
          <w:szCs w:val="18"/>
        </w:rPr>
        <w:t xml:space="preserve"> </w:t>
      </w:r>
    </w:p>
    <w:tbl>
      <w:tblPr>
        <w:tblStyle w:val="4"/>
        <w:tblW w:w="9046" w:type="dxa"/>
        <w:jc w:val="center"/>
        <w:tblLayout w:type="fixed"/>
        <w:tblCellMar>
          <w:top w:w="0" w:type="dxa"/>
          <w:left w:w="0" w:type="dxa"/>
          <w:bottom w:w="0" w:type="dxa"/>
          <w:right w:w="0" w:type="dxa"/>
        </w:tblCellMar>
      </w:tblPr>
      <w:tblGrid>
        <w:gridCol w:w="4029"/>
        <w:gridCol w:w="1364"/>
        <w:gridCol w:w="2381"/>
        <w:gridCol w:w="1272"/>
      </w:tblGrid>
      <w:tr>
        <w:tblPrEx>
          <w:tblCellMar>
            <w:top w:w="0" w:type="dxa"/>
            <w:left w:w="0" w:type="dxa"/>
            <w:bottom w:w="0" w:type="dxa"/>
            <w:right w:w="0" w:type="dxa"/>
          </w:tblCellMar>
        </w:tblPrEx>
        <w:trPr>
          <w:trHeight w:val="210" w:hRule="atLeast"/>
          <w:jc w:val="center"/>
        </w:trPr>
        <w:tc>
          <w:tcPr>
            <w:tcW w:w="5393" w:type="dxa"/>
            <w:gridSpan w:val="2"/>
            <w:tcBorders>
              <w:top w:val="single" w:color="FFFFFF" w:sz="6" w:space="0"/>
              <w:left w:val="single" w:color="FFFFFF" w:sz="6" w:space="0"/>
              <w:bottom w:val="single" w:color="FFFFFF" w:sz="18" w:space="0"/>
              <w:right w:val="single" w:color="FFFFFF" w:sz="6" w:space="0"/>
            </w:tcBorders>
            <w:shd w:val="clear" w:color="auto" w:fill="499BC9"/>
            <w:tcMar>
              <w:top w:w="60" w:type="dxa"/>
              <w:left w:w="60" w:type="dxa"/>
              <w:bottom w:w="60" w:type="dxa"/>
              <w:right w:w="60" w:type="dxa"/>
            </w:tcMar>
            <w:vAlign w:val="center"/>
          </w:tcPr>
          <w:p>
            <w:pPr>
              <w:spacing w:before="156" w:beforeLines="50" w:after="156" w:afterLines="50"/>
              <w:jc w:val="center"/>
              <w:rPr>
                <w:rFonts w:ascii="Arial" w:hAnsi="Arial" w:cs="Arial"/>
                <w:sz w:val="20"/>
                <w:szCs w:val="20"/>
              </w:rPr>
            </w:pPr>
            <w:r>
              <w:rPr>
                <w:rFonts w:ascii="Arial" w:hAnsi="Arial" w:cs="Arial"/>
                <w:b/>
                <w:bCs/>
                <w:sz w:val="20"/>
                <w:szCs w:val="20"/>
              </w:rPr>
              <w:t>Gene Ontology Consortium</w:t>
            </w:r>
          </w:p>
        </w:tc>
        <w:tc>
          <w:tcPr>
            <w:tcW w:w="3653" w:type="dxa"/>
            <w:gridSpan w:val="2"/>
            <w:tcBorders>
              <w:top w:val="single" w:color="FFFFFF" w:sz="6" w:space="0"/>
              <w:left w:val="single" w:color="FFFFFF" w:sz="6" w:space="0"/>
              <w:bottom w:val="single" w:color="FFFFFF" w:sz="18" w:space="0"/>
              <w:right w:val="single" w:color="FFFFFF" w:sz="6" w:space="0"/>
            </w:tcBorders>
            <w:shd w:val="clear" w:color="auto" w:fill="499BC9"/>
            <w:tcMar>
              <w:top w:w="60" w:type="dxa"/>
              <w:left w:w="60" w:type="dxa"/>
              <w:bottom w:w="60" w:type="dxa"/>
              <w:right w:w="60" w:type="dxa"/>
            </w:tcMar>
            <w:vAlign w:val="center"/>
          </w:tcPr>
          <w:p>
            <w:pPr>
              <w:spacing w:before="156" w:beforeLines="50" w:after="156" w:afterLines="50"/>
              <w:jc w:val="center"/>
              <w:rPr>
                <w:rFonts w:ascii="Arial" w:hAnsi="Arial" w:cs="Arial"/>
                <w:sz w:val="20"/>
                <w:szCs w:val="20"/>
              </w:rPr>
            </w:pPr>
            <w:r>
              <w:rPr>
                <w:rFonts w:ascii="Arial" w:hAnsi="Arial" w:cs="Arial"/>
                <w:b/>
                <w:bCs/>
                <w:sz w:val="20"/>
                <w:szCs w:val="20"/>
              </w:rPr>
              <w:t>IPA</w:t>
            </w:r>
          </w:p>
        </w:tc>
      </w:tr>
      <w:tr>
        <w:tblPrEx>
          <w:tblCellMar>
            <w:top w:w="0" w:type="dxa"/>
            <w:left w:w="0" w:type="dxa"/>
            <w:bottom w:w="0" w:type="dxa"/>
            <w:right w:w="0" w:type="dxa"/>
          </w:tblCellMar>
        </w:tblPrEx>
        <w:trPr>
          <w:trHeight w:val="570" w:hRule="atLeast"/>
          <w:jc w:val="center"/>
        </w:trPr>
        <w:tc>
          <w:tcPr>
            <w:tcW w:w="4029" w:type="dxa"/>
            <w:tcBorders>
              <w:top w:val="single" w:color="FFFFFF" w:sz="18"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spacing w:before="156" w:beforeLines="50" w:after="156" w:afterLines="50"/>
              <w:jc w:val="center"/>
              <w:rPr>
                <w:rFonts w:ascii="Arial" w:hAnsi="Arial" w:cs="Arial"/>
                <w:sz w:val="18"/>
                <w:szCs w:val="18"/>
              </w:rPr>
            </w:pPr>
            <w:r>
              <w:rPr>
                <w:rFonts w:ascii="Arial" w:hAnsi="Arial" w:cs="Arial"/>
                <w:b/>
                <w:bCs/>
                <w:sz w:val="18"/>
                <w:szCs w:val="18"/>
              </w:rPr>
              <w:t>enriched biological process</w:t>
            </w:r>
          </w:p>
        </w:tc>
        <w:tc>
          <w:tcPr>
            <w:tcW w:w="1364" w:type="dxa"/>
            <w:tcBorders>
              <w:top w:val="single" w:color="FFFFFF" w:sz="18"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spacing w:before="156" w:beforeLines="50" w:after="156" w:afterLines="50"/>
              <w:jc w:val="center"/>
              <w:rPr>
                <w:rFonts w:ascii="Arial" w:hAnsi="Arial" w:cs="Arial"/>
                <w:sz w:val="18"/>
                <w:szCs w:val="18"/>
              </w:rPr>
            </w:pPr>
            <w:r>
              <w:rPr>
                <w:rFonts w:ascii="Arial" w:hAnsi="Arial" w:cs="Arial"/>
                <w:b/>
                <w:bCs/>
                <w:sz w:val="18"/>
                <w:szCs w:val="18"/>
              </w:rPr>
              <w:t xml:space="preserve">enriched </w:t>
            </w:r>
            <w:r>
              <w:rPr>
                <w:rFonts w:ascii="Arial" w:hAnsi="Arial" w:cs="Arial"/>
                <w:b/>
                <w:bCs/>
                <w:i/>
                <w:iCs/>
                <w:sz w:val="18"/>
                <w:szCs w:val="18"/>
              </w:rPr>
              <w:t>p</w:t>
            </w:r>
            <w:r>
              <w:rPr>
                <w:rFonts w:ascii="Arial" w:hAnsi="Arial" w:cs="Arial"/>
                <w:b/>
                <w:bCs/>
                <w:sz w:val="18"/>
                <w:szCs w:val="18"/>
              </w:rPr>
              <w:t xml:space="preserve"> value</w:t>
            </w:r>
          </w:p>
        </w:tc>
        <w:tc>
          <w:tcPr>
            <w:tcW w:w="2381" w:type="dxa"/>
            <w:tcBorders>
              <w:top w:val="single" w:color="FFFFFF" w:sz="18"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spacing w:before="156" w:beforeLines="50" w:after="156" w:afterLines="50"/>
              <w:jc w:val="center"/>
              <w:rPr>
                <w:rFonts w:ascii="Arial" w:hAnsi="Arial" w:cs="Arial"/>
                <w:sz w:val="18"/>
                <w:szCs w:val="18"/>
              </w:rPr>
            </w:pPr>
            <w:r>
              <w:rPr>
                <w:rFonts w:ascii="Arial" w:hAnsi="Arial" w:cs="Arial"/>
                <w:b/>
                <w:bCs/>
                <w:sz w:val="18"/>
                <w:szCs w:val="18"/>
              </w:rPr>
              <w:t>enriched biological process</w:t>
            </w:r>
          </w:p>
        </w:tc>
        <w:tc>
          <w:tcPr>
            <w:tcW w:w="1272" w:type="dxa"/>
            <w:tcBorders>
              <w:top w:val="single" w:color="FFFFFF" w:sz="18"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spacing w:before="156" w:beforeLines="50" w:after="156" w:afterLines="50"/>
              <w:jc w:val="center"/>
              <w:rPr>
                <w:rFonts w:ascii="Arial" w:hAnsi="Arial" w:cs="Arial"/>
                <w:sz w:val="18"/>
                <w:szCs w:val="18"/>
              </w:rPr>
            </w:pPr>
            <w:r>
              <w:rPr>
                <w:rFonts w:ascii="Arial" w:hAnsi="Arial" w:cs="Arial"/>
                <w:b/>
                <w:bCs/>
                <w:sz w:val="18"/>
                <w:szCs w:val="18"/>
              </w:rPr>
              <w:t xml:space="preserve">enriched </w:t>
            </w:r>
            <w:r>
              <w:rPr>
                <w:rFonts w:ascii="Arial" w:hAnsi="Arial" w:cs="Arial"/>
                <w:b/>
                <w:bCs/>
                <w:i/>
                <w:iCs/>
                <w:sz w:val="18"/>
                <w:szCs w:val="18"/>
              </w:rPr>
              <w:t>p</w:t>
            </w:r>
            <w:r>
              <w:rPr>
                <w:rFonts w:ascii="Arial" w:hAnsi="Arial" w:cs="Arial"/>
                <w:b/>
                <w:bCs/>
                <w:sz w:val="18"/>
                <w:szCs w:val="18"/>
              </w:rPr>
              <w:t xml:space="preserve"> value</w:t>
            </w:r>
          </w:p>
        </w:tc>
      </w:tr>
      <w:tr>
        <w:tblPrEx>
          <w:tblCellMar>
            <w:top w:w="0" w:type="dxa"/>
            <w:left w:w="0" w:type="dxa"/>
            <w:bottom w:w="0" w:type="dxa"/>
            <w:right w:w="0" w:type="dxa"/>
          </w:tblCellMar>
        </w:tblPrEx>
        <w:trPr>
          <w:trHeight w:val="90" w:hRule="atLeast"/>
          <w:jc w:val="center"/>
        </w:trPr>
        <w:tc>
          <w:tcPr>
            <w:tcW w:w="4029" w:type="dxa"/>
            <w:tcBorders>
              <w:top w:val="single" w:color="FFFFFF" w:sz="6" w:space="0"/>
              <w:left w:val="single" w:color="FFFFFF" w:sz="6" w:space="0"/>
              <w:bottom w:val="single" w:color="FFFFFF" w:sz="6" w:space="0"/>
              <w:right w:val="single" w:color="FFFFFF" w:sz="6" w:space="0"/>
            </w:tcBorders>
            <w:shd w:val="clear" w:color="auto" w:fill="DEEBF6" w:themeFill="accent1" w:themeFillTint="32"/>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thyroid hormone generation (GO:0006590)</w:t>
            </w:r>
          </w:p>
        </w:tc>
        <w:tc>
          <w:tcPr>
            <w:tcW w:w="1364" w:type="dxa"/>
            <w:tcBorders>
              <w:top w:val="single" w:color="FFFFFF" w:sz="6" w:space="0"/>
              <w:left w:val="single" w:color="FFFFFF" w:sz="6" w:space="0"/>
              <w:bottom w:val="single" w:color="FFFFFF" w:sz="6" w:space="0"/>
              <w:right w:val="single" w:color="FFFFFF" w:sz="6" w:space="0"/>
            </w:tcBorders>
            <w:shd w:val="clear" w:color="auto" w:fill="DEEBF6" w:themeFill="accent1" w:themeFillTint="32"/>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9.21E-07</w:t>
            </w:r>
          </w:p>
        </w:tc>
        <w:tc>
          <w:tcPr>
            <w:tcW w:w="2381" w:type="dxa"/>
            <w:tcBorders>
              <w:top w:val="single" w:color="FFFFFF" w:sz="6" w:space="0"/>
              <w:left w:val="single" w:color="FFFFFF" w:sz="6" w:space="0"/>
              <w:bottom w:val="single" w:color="FFFFFF" w:sz="6" w:space="0"/>
              <w:right w:val="single" w:color="FFFFFF" w:sz="6" w:space="0"/>
            </w:tcBorders>
            <w:shd w:val="clear" w:color="auto" w:fill="DEEBF6" w:themeFill="accent1" w:themeFillTint="32"/>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thyroid gland tumor</w:t>
            </w:r>
          </w:p>
        </w:tc>
        <w:tc>
          <w:tcPr>
            <w:tcW w:w="1272" w:type="dxa"/>
            <w:tcBorders>
              <w:top w:val="single" w:color="FFFFFF" w:sz="6" w:space="0"/>
              <w:left w:val="single" w:color="FFFFFF" w:sz="6" w:space="0"/>
              <w:bottom w:val="single" w:color="FFFFFF" w:sz="6" w:space="0"/>
              <w:right w:val="single" w:color="FFFFFF" w:sz="6" w:space="0"/>
            </w:tcBorders>
            <w:shd w:val="clear" w:color="auto" w:fill="DEEBF6" w:themeFill="accent1" w:themeFillTint="32"/>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4.31E-33</w:t>
            </w:r>
          </w:p>
        </w:tc>
      </w:tr>
      <w:tr>
        <w:tblPrEx>
          <w:tblCellMar>
            <w:top w:w="0" w:type="dxa"/>
            <w:left w:w="0" w:type="dxa"/>
            <w:bottom w:w="0" w:type="dxa"/>
            <w:right w:w="0" w:type="dxa"/>
          </w:tblCellMar>
        </w:tblPrEx>
        <w:trPr>
          <w:trHeight w:val="315" w:hRule="atLeast"/>
          <w:jc w:val="center"/>
        </w:trPr>
        <w:tc>
          <w:tcPr>
            <w:tcW w:w="4029"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signal transduction (GO:0007165)</w:t>
            </w:r>
          </w:p>
        </w:tc>
        <w:tc>
          <w:tcPr>
            <w:tcW w:w="1364"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1.66E-06</w:t>
            </w:r>
          </w:p>
        </w:tc>
        <w:tc>
          <w:tcPr>
            <w:tcW w:w="2381"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thyroid cancer</w:t>
            </w:r>
          </w:p>
        </w:tc>
        <w:tc>
          <w:tcPr>
            <w:tcW w:w="1272"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7.71E-32</w:t>
            </w:r>
          </w:p>
        </w:tc>
      </w:tr>
      <w:tr>
        <w:tblPrEx>
          <w:tblCellMar>
            <w:top w:w="0" w:type="dxa"/>
            <w:left w:w="0" w:type="dxa"/>
            <w:bottom w:w="0" w:type="dxa"/>
            <w:right w:w="0" w:type="dxa"/>
          </w:tblCellMar>
        </w:tblPrEx>
        <w:trPr>
          <w:trHeight w:val="330" w:hRule="atLeast"/>
          <w:jc w:val="center"/>
        </w:trPr>
        <w:tc>
          <w:tcPr>
            <w:tcW w:w="4029" w:type="dxa"/>
            <w:tcBorders>
              <w:top w:val="single" w:color="FFFFFF" w:sz="6" w:space="0"/>
              <w:left w:val="single" w:color="FFFFFF" w:sz="6" w:space="0"/>
              <w:bottom w:val="single" w:color="FFFFFF" w:sz="6" w:space="0"/>
              <w:right w:val="single" w:color="FFFFFF" w:sz="6" w:space="0"/>
            </w:tcBorders>
            <w:shd w:val="clear" w:color="auto" w:fill="E8EEF5"/>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nervous system development (GO:0007399)</w:t>
            </w:r>
          </w:p>
        </w:tc>
        <w:tc>
          <w:tcPr>
            <w:tcW w:w="1364" w:type="dxa"/>
            <w:tcBorders>
              <w:top w:val="single" w:color="FFFFFF" w:sz="6" w:space="0"/>
              <w:left w:val="single" w:color="FFFFFF" w:sz="6" w:space="0"/>
              <w:bottom w:val="single" w:color="FFFFFF" w:sz="6" w:space="0"/>
              <w:right w:val="single" w:color="FFFFFF" w:sz="6" w:space="0"/>
            </w:tcBorders>
            <w:shd w:val="clear" w:color="auto" w:fill="E8EEF5"/>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7.07E-05</w:t>
            </w:r>
          </w:p>
        </w:tc>
        <w:tc>
          <w:tcPr>
            <w:tcW w:w="2381" w:type="dxa"/>
            <w:tcBorders>
              <w:top w:val="single" w:color="FFFFFF" w:sz="6" w:space="0"/>
              <w:left w:val="single" w:color="FFFFFF" w:sz="6" w:space="0"/>
              <w:bottom w:val="single" w:color="FFFFFF" w:sz="6" w:space="0"/>
              <w:right w:val="single" w:color="FFFFFF" w:sz="6" w:space="0"/>
            </w:tcBorders>
            <w:shd w:val="clear" w:color="auto" w:fill="E8EEF5"/>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cell proliferation of tumor cell lines</w:t>
            </w:r>
          </w:p>
        </w:tc>
        <w:tc>
          <w:tcPr>
            <w:tcW w:w="1272" w:type="dxa"/>
            <w:tcBorders>
              <w:top w:val="single" w:color="FFFFFF" w:sz="6" w:space="0"/>
              <w:left w:val="single" w:color="FFFFFF" w:sz="6" w:space="0"/>
              <w:bottom w:val="single" w:color="FFFFFF" w:sz="6" w:space="0"/>
              <w:right w:val="single" w:color="FFFFFF" w:sz="6" w:space="0"/>
            </w:tcBorders>
            <w:shd w:val="clear" w:color="auto" w:fill="E8EEF5"/>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8.24E-17</w:t>
            </w:r>
          </w:p>
        </w:tc>
      </w:tr>
      <w:tr>
        <w:tblPrEx>
          <w:tblCellMar>
            <w:top w:w="0" w:type="dxa"/>
            <w:left w:w="0" w:type="dxa"/>
            <w:bottom w:w="0" w:type="dxa"/>
            <w:right w:w="0" w:type="dxa"/>
          </w:tblCellMar>
        </w:tblPrEx>
        <w:trPr>
          <w:trHeight w:val="315" w:hRule="atLeast"/>
          <w:jc w:val="center"/>
        </w:trPr>
        <w:tc>
          <w:tcPr>
            <w:tcW w:w="4029"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cell death (GO:0008219)</w:t>
            </w:r>
          </w:p>
        </w:tc>
        <w:tc>
          <w:tcPr>
            <w:tcW w:w="1364"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2.91E-04</w:t>
            </w:r>
          </w:p>
        </w:tc>
        <w:tc>
          <w:tcPr>
            <w:tcW w:w="2381"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differentiated thyroid cancer</w:t>
            </w:r>
          </w:p>
        </w:tc>
        <w:tc>
          <w:tcPr>
            <w:tcW w:w="1272"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2.08E-12</w:t>
            </w:r>
          </w:p>
        </w:tc>
      </w:tr>
      <w:tr>
        <w:tblPrEx>
          <w:tblCellMar>
            <w:top w:w="0" w:type="dxa"/>
            <w:left w:w="0" w:type="dxa"/>
            <w:bottom w:w="0" w:type="dxa"/>
            <w:right w:w="0" w:type="dxa"/>
          </w:tblCellMar>
        </w:tblPrEx>
        <w:trPr>
          <w:trHeight w:val="330" w:hRule="atLeast"/>
          <w:jc w:val="center"/>
        </w:trPr>
        <w:tc>
          <w:tcPr>
            <w:tcW w:w="4029" w:type="dxa"/>
            <w:tcBorders>
              <w:top w:val="single" w:color="FFFFFF" w:sz="6" w:space="0"/>
              <w:left w:val="single" w:color="FFFFFF" w:sz="6" w:space="0"/>
              <w:bottom w:val="single" w:color="FFFFFF" w:sz="6" w:space="0"/>
              <w:right w:val="single" w:color="FFFFFF" w:sz="6" w:space="0"/>
            </w:tcBorders>
            <w:shd w:val="clear" w:color="auto" w:fill="E8EEF5"/>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extracellular matrix organization (GO:0030198)</w:t>
            </w:r>
          </w:p>
        </w:tc>
        <w:tc>
          <w:tcPr>
            <w:tcW w:w="1364" w:type="dxa"/>
            <w:tcBorders>
              <w:top w:val="single" w:color="FFFFFF" w:sz="6" w:space="0"/>
              <w:left w:val="single" w:color="FFFFFF" w:sz="6" w:space="0"/>
              <w:bottom w:val="single" w:color="FFFFFF" w:sz="6" w:space="0"/>
              <w:right w:val="single" w:color="FFFFFF" w:sz="6" w:space="0"/>
            </w:tcBorders>
            <w:shd w:val="clear" w:color="auto" w:fill="E8EEF5"/>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6.02E-04</w:t>
            </w:r>
          </w:p>
        </w:tc>
        <w:tc>
          <w:tcPr>
            <w:tcW w:w="2381" w:type="dxa"/>
            <w:tcBorders>
              <w:top w:val="single" w:color="FFFFFF" w:sz="6" w:space="0"/>
              <w:left w:val="single" w:color="FFFFFF" w:sz="6" w:space="0"/>
              <w:bottom w:val="single" w:color="FFFFFF" w:sz="6" w:space="0"/>
              <w:right w:val="single" w:color="FFFFFF" w:sz="6" w:space="0"/>
            </w:tcBorders>
            <w:shd w:val="clear" w:color="auto" w:fill="E8EEF5"/>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papillary thyroid carcinoma</w:t>
            </w:r>
          </w:p>
        </w:tc>
        <w:tc>
          <w:tcPr>
            <w:tcW w:w="1272" w:type="dxa"/>
            <w:tcBorders>
              <w:top w:val="single" w:color="FFFFFF" w:sz="6" w:space="0"/>
              <w:left w:val="single" w:color="FFFFFF" w:sz="6" w:space="0"/>
              <w:bottom w:val="single" w:color="FFFFFF" w:sz="6" w:space="0"/>
              <w:right w:val="single" w:color="FFFFFF" w:sz="6" w:space="0"/>
            </w:tcBorders>
            <w:shd w:val="clear" w:color="auto" w:fill="E8EEF5"/>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3.40E-12</w:t>
            </w:r>
          </w:p>
        </w:tc>
      </w:tr>
      <w:tr>
        <w:tblPrEx>
          <w:tblCellMar>
            <w:top w:w="0" w:type="dxa"/>
            <w:left w:w="0" w:type="dxa"/>
            <w:bottom w:w="0" w:type="dxa"/>
            <w:right w:w="0" w:type="dxa"/>
          </w:tblCellMar>
        </w:tblPrEx>
        <w:trPr>
          <w:trHeight w:val="330" w:hRule="atLeast"/>
          <w:jc w:val="center"/>
        </w:trPr>
        <w:tc>
          <w:tcPr>
            <w:tcW w:w="4029"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transmembrane transport (GO:0055085)</w:t>
            </w:r>
          </w:p>
        </w:tc>
        <w:tc>
          <w:tcPr>
            <w:tcW w:w="1364"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9.64E-04</w:t>
            </w:r>
          </w:p>
        </w:tc>
        <w:tc>
          <w:tcPr>
            <w:tcW w:w="2381"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abnormal morphology of thyroid gland</w:t>
            </w:r>
          </w:p>
        </w:tc>
        <w:tc>
          <w:tcPr>
            <w:tcW w:w="1272"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3.80E-09</w:t>
            </w:r>
          </w:p>
        </w:tc>
      </w:tr>
    </w:tbl>
    <w:p>
      <w:pPr>
        <w:pStyle w:val="12"/>
        <w:spacing w:before="156" w:beforeLines="50" w:after="156" w:afterLines="50" w:line="360" w:lineRule="auto"/>
        <w:jc w:val="both"/>
        <w:rPr>
          <w:rFonts w:ascii="Arial" w:hAnsi="Arial" w:eastAsia="Gungsuh" w:cs="Arial"/>
          <w:color w:val="auto"/>
          <w:sz w:val="18"/>
          <w:szCs w:val="18"/>
        </w:rPr>
      </w:pPr>
    </w:p>
    <w:p>
      <w:pPr>
        <w:spacing w:before="156" w:beforeLines="50" w:after="156" w:afterLines="50" w:line="360" w:lineRule="auto"/>
        <w:rPr>
          <w:rFonts w:ascii="Arial" w:hAnsi="Arial" w:eastAsia="Gungsuh" w:cs="Arial"/>
          <w:sz w:val="18"/>
          <w:szCs w:val="18"/>
        </w:rPr>
      </w:pPr>
      <w:r>
        <w:rPr>
          <w:rStyle w:val="11"/>
          <w:rFonts w:hint="eastAsia" w:ascii="Arial" w:hAnsi="Arial" w:eastAsia="宋体" w:cs="Arial"/>
          <w:b/>
          <w:bCs/>
          <w:color w:val="0D0D0D" w:themeColor="text1" w:themeTint="F2"/>
          <w:sz w:val="20"/>
          <w:szCs w:val="20"/>
          <w14:textFill>
            <w14:solidFill>
              <w14:schemeClr w14:val="tx1">
                <w14:lumMod w14:val="95000"/>
                <w14:lumOff w14:val="5000"/>
              </w14:schemeClr>
            </w14:solidFill>
          </w14:textFill>
        </w:rPr>
        <w:t xml:space="preserve">C2. </w:t>
      </w:r>
      <w:r>
        <w:rPr>
          <w:rStyle w:val="11"/>
          <w:rFonts w:hint="eastAsia" w:ascii="Arial" w:hAnsi="Arial" w:eastAsia="宋体" w:cs="Arial"/>
          <w:b/>
          <w:bCs/>
          <w:color w:val="0D0D0D" w:themeColor="text1" w:themeTint="F2"/>
          <w:sz w:val="22"/>
          <w:szCs w:val="22"/>
          <w14:textFill>
            <w14:solidFill>
              <w14:schemeClr w14:val="tx1">
                <w14:lumMod w14:val="95000"/>
                <w14:lumOff w14:val="5000"/>
              </w14:schemeClr>
            </w14:solidFill>
          </w14:textFill>
        </w:rPr>
        <w:t xml:space="preserve">The </w:t>
      </w:r>
      <w:r>
        <w:rPr>
          <w:rStyle w:val="10"/>
          <w:b/>
          <w:bCs/>
          <w:color w:val="262626" w:themeColor="text1" w:themeTint="D9"/>
          <w:sz w:val="22"/>
          <w:szCs w:val="22"/>
          <w14:textFill>
            <w14:solidFill>
              <w14:schemeClr w14:val="tx1">
                <w14:lumMod w14:val="85000"/>
                <w14:lumOff w14:val="15000"/>
              </w14:schemeClr>
            </w14:solidFill>
          </w14:textFill>
        </w:rPr>
        <w:t>functional analysis</w:t>
      </w:r>
      <w:r>
        <w:rPr>
          <w:rStyle w:val="10"/>
          <w:rFonts w:hint="eastAsia" w:eastAsia="宋体"/>
          <w:b/>
          <w:bCs/>
          <w:color w:val="262626" w:themeColor="text1" w:themeTint="D9"/>
          <w:sz w:val="22"/>
          <w:szCs w:val="22"/>
          <w14:textFill>
            <w14:solidFill>
              <w14:schemeClr w14:val="tx1">
                <w14:lumMod w14:val="85000"/>
                <w14:lumOff w14:val="15000"/>
              </w14:schemeClr>
            </w14:solidFill>
          </w14:textFill>
        </w:rPr>
        <w:t xml:space="preserve"> for COAD</w:t>
      </w:r>
    </w:p>
    <w:p>
      <w:pPr>
        <w:pStyle w:val="12"/>
        <w:snapToGrid w:val="0"/>
        <w:spacing w:before="156" w:beforeLines="50" w:after="156" w:afterLines="50" w:line="360" w:lineRule="auto"/>
        <w:jc w:val="both"/>
        <w:rPr>
          <w:rFonts w:ascii="Arial" w:hAnsi="Arial" w:eastAsia="宋体" w:cs="Arial"/>
          <w:color w:val="262626"/>
          <w:sz w:val="20"/>
          <w:szCs w:val="20"/>
        </w:rPr>
      </w:pPr>
      <w:r>
        <w:rPr>
          <w:rFonts w:ascii="Arial" w:hAnsi="Arial" w:eastAsia="宋体" w:cs="Arial"/>
          <w:color w:val="262626"/>
          <w:sz w:val="20"/>
          <w:szCs w:val="20"/>
        </w:rPr>
        <w:t xml:space="preserve">Through literature searching, some genes in the common </w:t>
      </w:r>
      <w:r>
        <w:rPr>
          <w:rStyle w:val="10"/>
          <w:color w:val="262626"/>
        </w:rPr>
        <w:t>“sKLD-signaling genes”</w:t>
      </w:r>
      <w:r>
        <w:rPr>
          <w:rFonts w:ascii="Arial" w:hAnsi="Arial" w:eastAsia="宋体" w:cs="Arial"/>
          <w:color w:val="262626"/>
          <w:sz w:val="20"/>
          <w:szCs w:val="20"/>
        </w:rPr>
        <w:t xml:space="preserve"> have been </w:t>
      </w:r>
      <w:r>
        <w:rPr>
          <w:rFonts w:ascii="Arial" w:hAnsi="Arial" w:cs="Arial"/>
          <w:color w:val="262626"/>
          <w:sz w:val="20"/>
          <w:szCs w:val="20"/>
        </w:rPr>
        <w:t>identified to be associated with the process of COAD</w:t>
      </w:r>
      <w:r>
        <w:rPr>
          <w:rFonts w:hint="eastAsia" w:ascii="Arial" w:hAnsi="Arial" w:cs="Arial"/>
          <w:color w:val="262626"/>
          <w:sz w:val="20"/>
          <w:szCs w:val="20"/>
        </w:rPr>
        <w:t xml:space="preserve"> (</w:t>
      </w:r>
      <w:r>
        <w:rPr>
          <w:rFonts w:hint="eastAsia" w:ascii="Arial" w:hAnsi="Arial" w:eastAsia="宋体" w:cs="Arial"/>
          <w:color w:val="auto"/>
          <w:sz w:val="18"/>
          <w:szCs w:val="18"/>
        </w:rPr>
        <w:t>S4 T</w:t>
      </w:r>
      <w:r>
        <w:rPr>
          <w:rFonts w:ascii="Arial" w:hAnsi="Arial" w:eastAsia="Gungsuh" w:cs="Arial"/>
          <w:color w:val="auto"/>
          <w:sz w:val="18"/>
          <w:szCs w:val="18"/>
        </w:rPr>
        <w:t>able</w:t>
      </w:r>
      <w:r>
        <w:rPr>
          <w:rFonts w:hint="eastAsia" w:ascii="Arial" w:hAnsi="Arial" w:eastAsia="宋体" w:cs="Arial"/>
          <w:color w:val="auto"/>
          <w:sz w:val="18"/>
          <w:szCs w:val="18"/>
        </w:rPr>
        <w:t>)</w:t>
      </w:r>
      <w:r>
        <w:rPr>
          <w:rStyle w:val="10"/>
          <w:rFonts w:eastAsia="宋体"/>
          <w:color w:val="262626"/>
        </w:rPr>
        <w:t xml:space="preserve">. </w:t>
      </w:r>
      <w:r>
        <w:rPr>
          <w:rFonts w:ascii="Arial" w:hAnsi="Arial" w:eastAsia="MS Mincho" w:cs="Arial"/>
          <w:color w:val="262626"/>
          <w:sz w:val="20"/>
          <w:szCs w:val="20"/>
          <w:lang w:eastAsia="ja-JP"/>
        </w:rPr>
        <w:t>For instance</w:t>
      </w:r>
      <w:r>
        <w:rPr>
          <w:rFonts w:ascii="Arial" w:hAnsi="Arial" w:eastAsia="宋体" w:cs="Arial"/>
          <w:color w:val="262626"/>
          <w:sz w:val="20"/>
          <w:szCs w:val="20"/>
        </w:rPr>
        <w:t>, Targeting CD46 in colon cancer cells may substantially suppress the pathogenesis and progression of the disease</w:t>
      </w:r>
      <w:r>
        <w:rPr>
          <w:rFonts w:hint="eastAsia" w:ascii="Arial" w:hAnsi="Arial" w:eastAsia="宋体" w:cs="Arial"/>
          <w:color w:val="262626"/>
          <w:sz w:val="20"/>
          <w:szCs w:val="20"/>
        </w:rPr>
        <w:t xml:space="preserve"> [15]</w:t>
      </w:r>
      <w:r>
        <w:rPr>
          <w:rFonts w:ascii="Arial" w:hAnsi="Arial" w:eastAsia="宋体" w:cs="Arial"/>
          <w:color w:val="262626"/>
          <w:sz w:val="20"/>
          <w:szCs w:val="20"/>
        </w:rPr>
        <w:t xml:space="preserve">. The high expression of EIF3E in colon cancer was significantly correlated with lymph node involvement and vessel invasion </w:t>
      </w:r>
      <w:r>
        <w:rPr>
          <w:rFonts w:hint="eastAsia" w:ascii="Arial" w:hAnsi="Arial" w:eastAsia="宋体" w:cs="Arial"/>
          <w:color w:val="262626"/>
          <w:sz w:val="20"/>
          <w:szCs w:val="20"/>
        </w:rPr>
        <w:t>[16]</w:t>
      </w:r>
      <w:r>
        <w:rPr>
          <w:rFonts w:ascii="Arial" w:hAnsi="Arial" w:eastAsia="宋体" w:cs="Arial"/>
          <w:color w:val="262626"/>
          <w:sz w:val="20"/>
          <w:szCs w:val="20"/>
        </w:rPr>
        <w:t>. Knockdown of RPL9 expression inhibits colorectal carcinoma growth via the inactivation of Id-1/NF-</w:t>
      </w:r>
      <w:r>
        <w:rPr>
          <w:rFonts w:hint="eastAsia" w:ascii="Arial" w:hAnsi="Arial" w:eastAsia="宋体" w:cs="Arial"/>
          <w:color w:val="262626"/>
          <w:sz w:val="20"/>
          <w:szCs w:val="20"/>
        </w:rPr>
        <w:t>k</w:t>
      </w:r>
      <w:r>
        <w:rPr>
          <w:rFonts w:ascii="Arial" w:hAnsi="Arial" w:eastAsia="宋体" w:cs="Arial"/>
          <w:color w:val="262626"/>
          <w:sz w:val="20"/>
          <w:szCs w:val="20"/>
        </w:rPr>
        <w:t xml:space="preserve">B signaling axis </w:t>
      </w:r>
      <w:r>
        <w:rPr>
          <w:rFonts w:hint="eastAsia" w:ascii="Arial" w:hAnsi="Arial" w:eastAsia="宋体" w:cs="Arial"/>
          <w:color w:val="262626"/>
          <w:sz w:val="20"/>
          <w:szCs w:val="20"/>
        </w:rPr>
        <w:t>[17]</w:t>
      </w:r>
      <w:r>
        <w:rPr>
          <w:rFonts w:ascii="Arial" w:hAnsi="Arial" w:eastAsia="宋体" w:cs="Arial"/>
          <w:color w:val="262626"/>
          <w:sz w:val="20"/>
          <w:szCs w:val="20"/>
        </w:rPr>
        <w:t>. HMGB1 can attenuate anti-metastatic defense of the lymph nodes in colorectal cancer</w:t>
      </w:r>
      <w:r>
        <w:rPr>
          <w:rFonts w:hint="eastAsia" w:ascii="Arial" w:hAnsi="Arial" w:eastAsia="宋体" w:cs="Arial"/>
          <w:color w:val="262626"/>
          <w:sz w:val="20"/>
          <w:szCs w:val="20"/>
        </w:rPr>
        <w:t xml:space="preserve"> [18]</w:t>
      </w:r>
      <w:r>
        <w:rPr>
          <w:rFonts w:ascii="Arial" w:hAnsi="Arial" w:eastAsia="宋体" w:cs="Arial"/>
          <w:color w:val="262626"/>
          <w:sz w:val="20"/>
          <w:szCs w:val="20"/>
        </w:rPr>
        <w:t xml:space="preserve">. CD164 can promote colon cancer cell proliferation and metastasis both in vitro and in vivo and may be a new target for diagnosis and treatment for colon cancer </w:t>
      </w:r>
      <w:r>
        <w:rPr>
          <w:rFonts w:hint="eastAsia" w:ascii="Arial" w:hAnsi="Arial" w:eastAsia="宋体" w:cs="Arial"/>
          <w:color w:val="262626"/>
          <w:sz w:val="20"/>
          <w:szCs w:val="20"/>
        </w:rPr>
        <w:t>[19]</w:t>
      </w:r>
      <w:r>
        <w:rPr>
          <w:rFonts w:ascii="Arial" w:hAnsi="Arial" w:eastAsia="宋体" w:cs="Arial"/>
          <w:color w:val="262626"/>
          <w:sz w:val="20"/>
          <w:szCs w:val="20"/>
        </w:rPr>
        <w:t>.</w:t>
      </w:r>
      <w:r>
        <w:rPr>
          <w:rFonts w:hint="eastAsia" w:ascii="Arial" w:hAnsi="Arial" w:eastAsia="宋体" w:cs="Arial"/>
          <w:color w:val="262626"/>
          <w:sz w:val="20"/>
          <w:szCs w:val="20"/>
        </w:rPr>
        <w:t xml:space="preserve"> </w:t>
      </w:r>
      <w:r>
        <w:rPr>
          <w:rFonts w:ascii="Arial" w:hAnsi="Arial" w:eastAsia="宋体" w:cs="Arial"/>
          <w:color w:val="262626"/>
          <w:sz w:val="20"/>
          <w:szCs w:val="20"/>
        </w:rPr>
        <w:t xml:space="preserve">The decreased EPCAM expression was found to be significantly linked to features of tumor invasion in colorectal cancer, including presence of lymph node metastasis and infiltrating tumor margin </w:t>
      </w:r>
      <w:r>
        <w:rPr>
          <w:rFonts w:hint="eastAsia" w:ascii="Arial" w:hAnsi="Arial" w:eastAsia="宋体" w:cs="Arial"/>
          <w:color w:val="262626"/>
          <w:sz w:val="20"/>
          <w:szCs w:val="20"/>
        </w:rPr>
        <w:t>[20]</w:t>
      </w:r>
      <w:r>
        <w:rPr>
          <w:rFonts w:ascii="Arial" w:hAnsi="Arial" w:eastAsia="宋体" w:cs="Arial"/>
          <w:color w:val="262626"/>
          <w:sz w:val="20"/>
          <w:szCs w:val="20"/>
        </w:rPr>
        <w:t xml:space="preserve">. P53-induced miR-30e-5p can inhibit colorectal cancer invasion and metastasis by targeting ITGB1 </w:t>
      </w:r>
      <w:r>
        <w:rPr>
          <w:rFonts w:hint="eastAsia" w:ascii="Arial" w:hAnsi="Arial" w:eastAsia="宋体" w:cs="Arial"/>
          <w:color w:val="262626"/>
          <w:sz w:val="20"/>
          <w:szCs w:val="20"/>
        </w:rPr>
        <w:t>[21]</w:t>
      </w:r>
      <w:r>
        <w:rPr>
          <w:rFonts w:ascii="Arial" w:hAnsi="Arial" w:eastAsia="宋体" w:cs="Arial"/>
          <w:color w:val="262626"/>
          <w:sz w:val="20"/>
          <w:szCs w:val="20"/>
        </w:rPr>
        <w:t xml:space="preserve">. S100A6 can stimulate proliferation and migration of colorectal carcinoma cells through activation of the MAPK pathways </w:t>
      </w:r>
      <w:r>
        <w:rPr>
          <w:rFonts w:hint="eastAsia" w:ascii="Arial" w:hAnsi="Arial" w:eastAsia="宋体" w:cs="Arial"/>
          <w:color w:val="262626"/>
          <w:sz w:val="20"/>
          <w:szCs w:val="20"/>
        </w:rPr>
        <w:t>[22]</w:t>
      </w:r>
      <w:r>
        <w:rPr>
          <w:rFonts w:ascii="Arial" w:hAnsi="Arial" w:eastAsia="宋体" w:cs="Arial"/>
          <w:color w:val="262626"/>
          <w:sz w:val="20"/>
          <w:szCs w:val="20"/>
        </w:rPr>
        <w:t>.</w:t>
      </w:r>
    </w:p>
    <w:p>
      <w:pPr>
        <w:pStyle w:val="12"/>
        <w:snapToGrid w:val="0"/>
        <w:spacing w:before="156" w:beforeLines="50" w:after="156" w:afterLines="50" w:line="360" w:lineRule="auto"/>
        <w:jc w:val="both"/>
        <w:rPr>
          <w:rFonts w:ascii="Arial" w:hAnsi="Arial" w:eastAsia="宋体" w:cs="Arial"/>
          <w:color w:val="262626"/>
          <w:sz w:val="20"/>
          <w:szCs w:val="20"/>
        </w:rPr>
      </w:pPr>
      <w:r>
        <w:rPr>
          <w:rStyle w:val="10"/>
          <w:color w:val="262626"/>
        </w:rPr>
        <w:t>Besides,</w:t>
      </w:r>
      <w:r>
        <w:rPr>
          <w:rStyle w:val="10"/>
          <w:rFonts w:eastAsia="宋体"/>
          <w:color w:val="262626"/>
        </w:rPr>
        <w:t xml:space="preserve"> from </w:t>
      </w:r>
      <w:r>
        <w:rPr>
          <w:rFonts w:ascii="Arial" w:hAnsi="Arial" w:eastAsia="宋体" w:cs="Arial"/>
          <w:color w:val="262626"/>
          <w:sz w:val="20"/>
          <w:szCs w:val="20"/>
        </w:rPr>
        <w:t xml:space="preserve">GO analysis, </w:t>
      </w:r>
      <w:r>
        <w:rPr>
          <w:rFonts w:ascii="Arial" w:hAnsi="Arial" w:cs="Arial"/>
          <w:color w:val="262626"/>
          <w:sz w:val="20"/>
          <w:szCs w:val="20"/>
        </w:rPr>
        <w:t xml:space="preserve">the common </w:t>
      </w:r>
      <w:r>
        <w:rPr>
          <w:rStyle w:val="10"/>
          <w:rFonts w:eastAsia="宋体"/>
          <w:color w:val="262626"/>
        </w:rPr>
        <w:t>“</w:t>
      </w:r>
      <w:r>
        <w:rPr>
          <w:rStyle w:val="10"/>
          <w:color w:val="262626"/>
        </w:rPr>
        <w:t>sKLD-signaling genes</w:t>
      </w:r>
      <w:r>
        <w:rPr>
          <w:rStyle w:val="10"/>
          <w:rFonts w:eastAsia="宋体"/>
          <w:color w:val="262626"/>
        </w:rPr>
        <w:t xml:space="preserve">” are </w:t>
      </w:r>
      <w:r>
        <w:rPr>
          <w:rFonts w:ascii="Arial" w:hAnsi="Arial" w:cs="Arial"/>
          <w:color w:val="262626"/>
          <w:sz w:val="20"/>
          <w:szCs w:val="20"/>
        </w:rPr>
        <w:t>enriched in the biological processes including regulation of immune system process, defense response, positive regulation of T cell mediated cytotoxicity and others</w:t>
      </w:r>
      <w:r>
        <w:rPr>
          <w:rFonts w:hint="eastAsia" w:ascii="Arial" w:hAnsi="Arial" w:cs="Arial"/>
          <w:color w:val="262626"/>
          <w:sz w:val="20"/>
          <w:szCs w:val="20"/>
        </w:rPr>
        <w:t xml:space="preserve"> (</w:t>
      </w:r>
      <w:r>
        <w:rPr>
          <w:rFonts w:hint="eastAsia" w:ascii="Arial" w:hAnsi="Arial" w:eastAsia="宋体" w:cs="Arial"/>
          <w:color w:val="auto"/>
          <w:sz w:val="18"/>
          <w:szCs w:val="18"/>
        </w:rPr>
        <w:t>S5 T</w:t>
      </w:r>
      <w:r>
        <w:rPr>
          <w:rFonts w:ascii="Arial" w:hAnsi="Arial" w:eastAsia="Gungsuh" w:cs="Arial"/>
          <w:color w:val="auto"/>
          <w:sz w:val="18"/>
          <w:szCs w:val="18"/>
        </w:rPr>
        <w:t>able</w:t>
      </w:r>
      <w:r>
        <w:rPr>
          <w:rFonts w:hint="eastAsia" w:ascii="Arial" w:hAnsi="Arial" w:eastAsia="宋体" w:cs="Arial"/>
          <w:color w:val="auto"/>
          <w:sz w:val="18"/>
          <w:szCs w:val="18"/>
        </w:rPr>
        <w:t>)</w:t>
      </w:r>
      <w:r>
        <w:rPr>
          <w:rFonts w:ascii="Arial" w:hAnsi="Arial" w:cs="Arial"/>
          <w:color w:val="262626"/>
          <w:sz w:val="20"/>
          <w:szCs w:val="20"/>
        </w:rPr>
        <w:t xml:space="preserve">. All these biological processes are related with the progression of cancer. </w:t>
      </w:r>
      <w:r>
        <w:rPr>
          <w:rFonts w:ascii="Arial" w:hAnsi="Arial" w:eastAsia="宋体" w:cs="Arial"/>
          <w:color w:val="262626"/>
          <w:sz w:val="20"/>
          <w:szCs w:val="20"/>
        </w:rPr>
        <w:t>Furthermore, these common genes are also related to adhesion of colorectal cancer cell lines, colorectal disorder, and colorectal cancer</w:t>
      </w:r>
      <w:r>
        <w:rPr>
          <w:rFonts w:hint="eastAsia" w:ascii="Arial" w:hAnsi="Arial" w:eastAsia="宋体" w:cs="Arial"/>
          <w:color w:val="262626"/>
          <w:sz w:val="20"/>
          <w:szCs w:val="20"/>
        </w:rPr>
        <w:t xml:space="preserve"> (</w:t>
      </w:r>
      <w:r>
        <w:rPr>
          <w:rFonts w:hint="eastAsia" w:ascii="Arial" w:hAnsi="Arial" w:eastAsia="宋体" w:cs="Arial"/>
          <w:color w:val="auto"/>
          <w:sz w:val="18"/>
          <w:szCs w:val="18"/>
        </w:rPr>
        <w:t>S5 T</w:t>
      </w:r>
      <w:r>
        <w:rPr>
          <w:rFonts w:ascii="Arial" w:hAnsi="Arial" w:eastAsia="Gungsuh" w:cs="Arial"/>
          <w:color w:val="auto"/>
          <w:sz w:val="18"/>
          <w:szCs w:val="18"/>
        </w:rPr>
        <w:t>able</w:t>
      </w:r>
      <w:r>
        <w:rPr>
          <w:rFonts w:hint="eastAsia" w:ascii="Arial" w:hAnsi="Arial" w:eastAsia="宋体" w:cs="Arial"/>
          <w:color w:val="auto"/>
          <w:sz w:val="18"/>
          <w:szCs w:val="18"/>
        </w:rPr>
        <w:t>)</w:t>
      </w:r>
      <w:r>
        <w:rPr>
          <w:rFonts w:ascii="Arial" w:hAnsi="Arial" w:eastAsia="宋体" w:cs="Arial"/>
          <w:color w:val="262626"/>
          <w:sz w:val="20"/>
          <w:szCs w:val="20"/>
        </w:rPr>
        <w:t xml:space="preserve"> by functional enrichment from IPA</w:t>
      </w:r>
      <w:r>
        <w:rPr>
          <w:rFonts w:hint="eastAsia" w:ascii="Arial" w:hAnsi="Arial" w:eastAsia="宋体" w:cs="Arial"/>
          <w:color w:val="262626"/>
          <w:sz w:val="20"/>
          <w:szCs w:val="20"/>
        </w:rPr>
        <w:t>.</w:t>
      </w:r>
    </w:p>
    <w:p>
      <w:pPr>
        <w:pStyle w:val="12"/>
        <w:snapToGrid w:val="0"/>
        <w:spacing w:before="156" w:beforeLines="50" w:after="156" w:afterLines="50" w:line="360" w:lineRule="auto"/>
        <w:jc w:val="both"/>
        <w:rPr>
          <w:rFonts w:ascii="Arial" w:hAnsi="Arial" w:eastAsia="宋体" w:cs="Arial"/>
          <w:color w:val="262626"/>
          <w:sz w:val="20"/>
          <w:szCs w:val="20"/>
        </w:rPr>
      </w:pPr>
    </w:p>
    <w:p>
      <w:pPr>
        <w:pStyle w:val="12"/>
        <w:spacing w:before="156" w:beforeLines="50" w:after="156" w:afterLines="50" w:line="240" w:lineRule="auto"/>
        <w:jc w:val="both"/>
        <w:rPr>
          <w:rFonts w:ascii="Arial" w:hAnsi="Arial" w:eastAsia="Gungsuh" w:cs="Arial"/>
          <w:color w:val="auto"/>
          <w:sz w:val="18"/>
          <w:szCs w:val="18"/>
        </w:rPr>
      </w:pPr>
      <w:r>
        <w:rPr>
          <w:rFonts w:hint="eastAsia" w:ascii="Arial" w:hAnsi="Arial" w:eastAsia="宋体" w:cs="Arial"/>
          <w:b/>
          <w:color w:val="auto"/>
          <w:sz w:val="20"/>
          <w:szCs w:val="20"/>
        </w:rPr>
        <w:t>T</w:t>
      </w:r>
      <w:r>
        <w:rPr>
          <w:rFonts w:ascii="Arial" w:hAnsi="Arial" w:eastAsia="Gungsuh" w:cs="Arial"/>
          <w:b/>
          <w:color w:val="auto"/>
          <w:sz w:val="20"/>
          <w:szCs w:val="20"/>
        </w:rPr>
        <w:t>able</w:t>
      </w:r>
      <w:r>
        <w:rPr>
          <w:rFonts w:hint="eastAsia" w:ascii="Arial" w:hAnsi="Arial" w:eastAsia="宋体" w:cs="Arial"/>
          <w:b/>
          <w:color w:val="auto"/>
          <w:sz w:val="20"/>
          <w:szCs w:val="20"/>
        </w:rPr>
        <w:t xml:space="preserve"> S4 </w:t>
      </w:r>
      <w:r>
        <w:rPr>
          <w:rFonts w:ascii="Arial" w:hAnsi="Arial" w:eastAsia="Gungsuh" w:cs="Arial"/>
          <w:b/>
          <w:color w:val="auto"/>
          <w:sz w:val="20"/>
          <w:szCs w:val="20"/>
        </w:rPr>
        <w:t xml:space="preserve">Genes with high frequency in 13 </w:t>
      </w:r>
      <w:r>
        <w:rPr>
          <w:rStyle w:val="10"/>
          <w:rFonts w:eastAsia="Gungsuh"/>
          <w:b/>
          <w:color w:val="262626" w:themeColor="text1" w:themeTint="D9"/>
          <w14:textFill>
            <w14:solidFill>
              <w14:schemeClr w14:val="tx1">
                <w14:lumMod w14:val="85000"/>
                <w14:lumOff w14:val="15000"/>
              </w14:schemeClr>
            </w14:solidFill>
          </w14:textFill>
        </w:rPr>
        <w:t>“sKLD-signaling genes”</w:t>
      </w:r>
      <w:r>
        <w:rPr>
          <w:rFonts w:ascii="Arial" w:hAnsi="Arial" w:eastAsia="Gungsuh" w:cs="Arial"/>
          <w:b/>
          <w:color w:val="auto"/>
          <w:sz w:val="20"/>
          <w:szCs w:val="20"/>
        </w:rPr>
        <w:t xml:space="preserve"> groups in the critical stage (stage II) for COAD. </w:t>
      </w:r>
    </w:p>
    <w:tbl>
      <w:tblPr>
        <w:tblStyle w:val="5"/>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135"/>
        <w:gridCol w:w="1125"/>
        <w:gridCol w:w="1579"/>
        <w:gridCol w:w="4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88" w:type="dxa"/>
            <w:shd w:val="clear" w:color="auto" w:fill="9CC2E5" w:themeFill="accent1" w:themeFillTint="99"/>
            <w:vAlign w:val="center"/>
          </w:tcPr>
          <w:p>
            <w:pPr>
              <w:widowControl/>
              <w:spacing w:before="156" w:beforeLines="50" w:after="156" w:afterLines="50"/>
              <w:jc w:val="center"/>
              <w:textAlignment w:val="center"/>
              <w:rPr>
                <w:rFonts w:ascii="Arial" w:hAnsi="Arial" w:cs="Arial"/>
                <w:b/>
                <w:bCs/>
                <w:sz w:val="16"/>
                <w:szCs w:val="16"/>
              </w:rPr>
            </w:pPr>
            <w:r>
              <w:rPr>
                <w:rFonts w:ascii="Arial" w:hAnsi="Arial" w:eastAsia="宋体" w:cs="Arial"/>
                <w:b/>
                <w:bCs/>
                <w:color w:val="000000"/>
                <w:kern w:val="0"/>
                <w:sz w:val="18"/>
                <w:szCs w:val="18"/>
                <w:lang w:bidi="ar"/>
              </w:rPr>
              <w:t>Gene</w:t>
            </w:r>
          </w:p>
        </w:tc>
        <w:tc>
          <w:tcPr>
            <w:tcW w:w="1135" w:type="dxa"/>
            <w:shd w:val="clear" w:color="auto" w:fill="FBE5D6" w:themeFill="accent2" w:themeFillTint="32"/>
            <w:vAlign w:val="center"/>
          </w:tcPr>
          <w:p>
            <w:pPr>
              <w:widowControl/>
              <w:spacing w:before="156" w:beforeLines="50" w:after="156" w:afterLines="50"/>
              <w:jc w:val="center"/>
              <w:textAlignment w:val="center"/>
              <w:rPr>
                <w:rFonts w:ascii="Arial" w:hAnsi="Arial" w:cs="Arial"/>
                <w:b/>
                <w:bCs/>
                <w:sz w:val="16"/>
                <w:szCs w:val="16"/>
              </w:rPr>
            </w:pPr>
            <w:r>
              <w:rPr>
                <w:rFonts w:ascii="Arial" w:hAnsi="Arial" w:eastAsia="宋体" w:cs="Arial"/>
                <w:b/>
                <w:bCs/>
                <w:color w:val="000000"/>
                <w:kern w:val="0"/>
                <w:sz w:val="18"/>
                <w:szCs w:val="18"/>
                <w:lang w:bidi="ar"/>
              </w:rPr>
              <w:t>Frequency</w:t>
            </w:r>
          </w:p>
        </w:tc>
        <w:tc>
          <w:tcPr>
            <w:tcW w:w="1125" w:type="dxa"/>
            <w:shd w:val="clear" w:color="auto" w:fill="FBE5D6" w:themeFill="accent2" w:themeFillTint="32"/>
            <w:vAlign w:val="center"/>
          </w:tcPr>
          <w:p>
            <w:pPr>
              <w:widowControl/>
              <w:spacing w:before="156" w:beforeLines="50" w:after="156" w:afterLines="50"/>
              <w:jc w:val="center"/>
              <w:textAlignment w:val="center"/>
              <w:rPr>
                <w:rFonts w:ascii="Arial" w:hAnsi="Arial" w:cs="Arial"/>
                <w:b/>
                <w:bCs/>
                <w:sz w:val="16"/>
                <w:szCs w:val="16"/>
              </w:rPr>
            </w:pPr>
            <w:r>
              <w:rPr>
                <w:rFonts w:ascii="Arial" w:hAnsi="Arial" w:eastAsia="宋体" w:cs="Arial"/>
                <w:b/>
                <w:bCs/>
                <w:color w:val="000000"/>
                <w:kern w:val="0"/>
                <w:sz w:val="18"/>
                <w:szCs w:val="18"/>
                <w:lang w:bidi="ar"/>
              </w:rPr>
              <w:t>Location</w:t>
            </w:r>
          </w:p>
        </w:tc>
        <w:tc>
          <w:tcPr>
            <w:tcW w:w="1579" w:type="dxa"/>
            <w:shd w:val="clear" w:color="auto" w:fill="FBE5D6" w:themeFill="accent2" w:themeFillTint="32"/>
            <w:vAlign w:val="center"/>
          </w:tcPr>
          <w:p>
            <w:pPr>
              <w:widowControl/>
              <w:spacing w:before="156" w:beforeLines="50" w:after="156" w:afterLines="50"/>
              <w:jc w:val="center"/>
              <w:textAlignment w:val="center"/>
              <w:rPr>
                <w:rFonts w:ascii="Arial" w:hAnsi="Arial" w:cs="Arial"/>
                <w:b/>
                <w:bCs/>
                <w:sz w:val="16"/>
                <w:szCs w:val="16"/>
              </w:rPr>
            </w:pPr>
            <w:r>
              <w:rPr>
                <w:rFonts w:ascii="Arial" w:hAnsi="Arial" w:eastAsia="宋体" w:cs="Arial"/>
                <w:b/>
                <w:bCs/>
                <w:color w:val="000000"/>
                <w:kern w:val="0"/>
                <w:sz w:val="18"/>
                <w:szCs w:val="18"/>
                <w:lang w:bidi="ar"/>
              </w:rPr>
              <w:t>Family*</w:t>
            </w:r>
          </w:p>
        </w:tc>
        <w:tc>
          <w:tcPr>
            <w:tcW w:w="4099" w:type="dxa"/>
            <w:shd w:val="clear" w:color="auto" w:fill="FBE5D6" w:themeFill="accent2" w:themeFillTint="32"/>
            <w:vAlign w:val="center"/>
          </w:tcPr>
          <w:p>
            <w:pPr>
              <w:widowControl/>
              <w:spacing w:before="156" w:beforeLines="50" w:after="156" w:afterLines="50"/>
              <w:jc w:val="center"/>
              <w:textAlignment w:val="center"/>
              <w:rPr>
                <w:rFonts w:ascii="Arial" w:hAnsi="Arial" w:cs="Arial"/>
                <w:b/>
                <w:bCs/>
                <w:sz w:val="16"/>
                <w:szCs w:val="16"/>
              </w:rPr>
            </w:pPr>
            <w:r>
              <w:rPr>
                <w:rFonts w:ascii="Arial" w:hAnsi="Arial" w:eastAsia="宋体" w:cs="Arial"/>
                <w:b/>
                <w:bCs/>
                <w:color w:val="000000"/>
                <w:kern w:val="0"/>
                <w:sz w:val="18"/>
                <w:szCs w:val="18"/>
                <w:lang w:bidi="ar"/>
              </w:rPr>
              <w:t>Relation with cancer progression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988" w:type="dxa"/>
            <w:shd w:val="clear" w:color="auto" w:fill="9CC2E5" w:themeFill="accent1" w:themeFillTint="99"/>
            <w:vAlign w:val="center"/>
          </w:tcPr>
          <w:p>
            <w:pPr>
              <w:widowControl/>
              <w:spacing w:before="156" w:beforeLines="50" w:after="156" w:afterLines="50"/>
              <w:jc w:val="center"/>
              <w:textAlignment w:val="center"/>
              <w:rPr>
                <w:rFonts w:ascii="Arial" w:hAnsi="Arial" w:cs="Arial"/>
                <w:b/>
                <w:bCs/>
                <w:sz w:val="16"/>
                <w:szCs w:val="16"/>
              </w:rPr>
            </w:pPr>
            <w:r>
              <w:rPr>
                <w:rFonts w:ascii="Arial" w:hAnsi="Arial" w:eastAsia="宋体" w:cs="Arial"/>
                <w:color w:val="000000"/>
                <w:kern w:val="0"/>
                <w:sz w:val="18"/>
                <w:szCs w:val="18"/>
                <w:lang w:bidi="ar"/>
              </w:rPr>
              <w:t>CD46</w:t>
            </w:r>
          </w:p>
        </w:tc>
        <w:tc>
          <w:tcPr>
            <w:tcW w:w="113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25</w:t>
            </w:r>
          </w:p>
        </w:tc>
        <w:tc>
          <w:tcPr>
            <w:tcW w:w="112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Cytoplasm</w:t>
            </w:r>
          </w:p>
        </w:tc>
        <w:tc>
          <w:tcPr>
            <w:tcW w:w="1579"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other</w:t>
            </w:r>
          </w:p>
        </w:tc>
        <w:tc>
          <w:tcPr>
            <w:tcW w:w="4099"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Targeting CD46 in colon cancer cells may substantially suppress the pathogenesis and progression of the disease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88" w:type="dxa"/>
            <w:shd w:val="clear" w:color="auto" w:fill="9CC2E5" w:themeFill="accent1" w:themeFillTint="99"/>
            <w:vAlign w:val="center"/>
          </w:tcPr>
          <w:p>
            <w:pPr>
              <w:widowControl/>
              <w:spacing w:before="156" w:beforeLines="50" w:after="156" w:afterLines="50"/>
              <w:jc w:val="center"/>
              <w:textAlignment w:val="center"/>
              <w:rPr>
                <w:rFonts w:ascii="Arial" w:hAnsi="Arial" w:cs="Arial"/>
                <w:b/>
                <w:bCs/>
                <w:sz w:val="16"/>
                <w:szCs w:val="16"/>
              </w:rPr>
            </w:pPr>
            <w:r>
              <w:rPr>
                <w:rFonts w:ascii="Arial" w:hAnsi="Arial" w:eastAsia="宋体" w:cs="Arial"/>
                <w:color w:val="000000"/>
                <w:kern w:val="0"/>
                <w:sz w:val="18"/>
                <w:szCs w:val="18"/>
                <w:lang w:bidi="ar"/>
              </w:rPr>
              <w:t>EIF3E</w:t>
            </w:r>
          </w:p>
        </w:tc>
        <w:tc>
          <w:tcPr>
            <w:tcW w:w="113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25</w:t>
            </w:r>
          </w:p>
        </w:tc>
        <w:tc>
          <w:tcPr>
            <w:tcW w:w="112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Cytoplasm</w:t>
            </w:r>
          </w:p>
        </w:tc>
        <w:tc>
          <w:tcPr>
            <w:tcW w:w="1579"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other</w:t>
            </w:r>
          </w:p>
        </w:tc>
        <w:tc>
          <w:tcPr>
            <w:tcW w:w="4099"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The high expression of EIF3E in colon cancer was significantly correlated with lymph node involvement and vessel invasion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shd w:val="clear" w:color="auto" w:fill="9CC2E5" w:themeFill="accent1" w:themeFillTint="99"/>
            <w:vAlign w:val="center"/>
          </w:tcPr>
          <w:p>
            <w:pPr>
              <w:widowControl/>
              <w:spacing w:before="156" w:beforeLines="50" w:after="156" w:afterLines="50"/>
              <w:jc w:val="center"/>
              <w:textAlignment w:val="center"/>
              <w:rPr>
                <w:rFonts w:ascii="Arial" w:hAnsi="Arial" w:eastAsia="宋体" w:cs="Arial"/>
                <w:b/>
                <w:bCs/>
                <w:sz w:val="16"/>
                <w:szCs w:val="16"/>
              </w:rPr>
            </w:pPr>
            <w:r>
              <w:rPr>
                <w:rFonts w:ascii="Arial" w:hAnsi="Arial" w:eastAsia="宋体" w:cs="Arial"/>
                <w:color w:val="000000"/>
                <w:kern w:val="0"/>
                <w:sz w:val="18"/>
                <w:szCs w:val="18"/>
                <w:lang w:bidi="ar"/>
              </w:rPr>
              <w:t>RPL9</w:t>
            </w:r>
          </w:p>
        </w:tc>
        <w:tc>
          <w:tcPr>
            <w:tcW w:w="113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25</w:t>
            </w:r>
          </w:p>
        </w:tc>
        <w:tc>
          <w:tcPr>
            <w:tcW w:w="112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Nucleus</w:t>
            </w:r>
          </w:p>
        </w:tc>
        <w:tc>
          <w:tcPr>
            <w:tcW w:w="1579"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other</w:t>
            </w:r>
          </w:p>
        </w:tc>
        <w:tc>
          <w:tcPr>
            <w:tcW w:w="4099"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Knockdown of RPL9 expression inhibits colorectal carcinoma growth via the inactivation of Id-1/NF-</w:t>
            </w:r>
            <w:r>
              <w:rPr>
                <w:rFonts w:hint="eastAsia" w:ascii="Arial" w:hAnsi="Arial" w:eastAsia="宋体" w:cs="Arial"/>
                <w:color w:val="000000"/>
                <w:kern w:val="0"/>
                <w:sz w:val="18"/>
                <w:szCs w:val="18"/>
                <w:lang w:bidi="ar"/>
              </w:rPr>
              <w:t>k</w:t>
            </w:r>
            <w:r>
              <w:rPr>
                <w:rFonts w:ascii="Arial" w:hAnsi="Arial" w:eastAsia="宋体" w:cs="Arial"/>
                <w:color w:val="000000"/>
                <w:kern w:val="0"/>
                <w:sz w:val="18"/>
                <w:szCs w:val="18"/>
                <w:lang w:bidi="ar"/>
              </w:rPr>
              <w:t>B signaling axis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88" w:type="dxa"/>
            <w:shd w:val="clear" w:color="auto" w:fill="9CC2E5" w:themeFill="accent1" w:themeFillTint="99"/>
            <w:vAlign w:val="center"/>
          </w:tcPr>
          <w:p>
            <w:pPr>
              <w:widowControl/>
              <w:spacing w:before="156" w:beforeLines="50" w:after="156" w:afterLines="50"/>
              <w:jc w:val="center"/>
              <w:textAlignment w:val="center"/>
              <w:rPr>
                <w:rFonts w:ascii="Arial" w:hAnsi="Arial" w:eastAsia="宋体" w:cs="Arial"/>
                <w:b/>
                <w:bCs/>
                <w:sz w:val="16"/>
                <w:szCs w:val="16"/>
              </w:rPr>
            </w:pPr>
            <w:r>
              <w:rPr>
                <w:rFonts w:ascii="Arial" w:hAnsi="Arial" w:eastAsia="宋体" w:cs="Arial"/>
                <w:color w:val="000000"/>
                <w:kern w:val="0"/>
                <w:sz w:val="18"/>
                <w:szCs w:val="18"/>
                <w:lang w:bidi="ar"/>
              </w:rPr>
              <w:t>HMGB1</w:t>
            </w:r>
          </w:p>
        </w:tc>
        <w:tc>
          <w:tcPr>
            <w:tcW w:w="113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24</w:t>
            </w:r>
          </w:p>
        </w:tc>
        <w:tc>
          <w:tcPr>
            <w:tcW w:w="112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Nucleus</w:t>
            </w:r>
          </w:p>
        </w:tc>
        <w:tc>
          <w:tcPr>
            <w:tcW w:w="1579"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transcription regulator</w:t>
            </w:r>
          </w:p>
        </w:tc>
        <w:tc>
          <w:tcPr>
            <w:tcW w:w="4099"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CD164 can promote colon cancer cell proliferation and metastasis both in vitro and in vivo and may be a new target for diagnosis and treatment for colon cancer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88" w:type="dxa"/>
            <w:shd w:val="clear" w:color="auto" w:fill="9CC2E5" w:themeFill="accent1" w:themeFillTint="99"/>
            <w:vAlign w:val="center"/>
          </w:tcPr>
          <w:p>
            <w:pPr>
              <w:widowControl/>
              <w:spacing w:before="156" w:beforeLines="50" w:after="156" w:afterLines="50"/>
              <w:jc w:val="center"/>
              <w:textAlignment w:val="center"/>
              <w:rPr>
                <w:rFonts w:ascii="Arial" w:hAnsi="Arial" w:eastAsia="宋体" w:cs="Arial"/>
                <w:b/>
                <w:bCs/>
                <w:sz w:val="16"/>
                <w:szCs w:val="16"/>
              </w:rPr>
            </w:pPr>
            <w:r>
              <w:rPr>
                <w:rFonts w:ascii="Arial" w:hAnsi="Arial" w:eastAsia="宋体" w:cs="Arial"/>
                <w:color w:val="000000"/>
                <w:kern w:val="0"/>
                <w:sz w:val="18"/>
                <w:szCs w:val="18"/>
                <w:lang w:bidi="ar"/>
              </w:rPr>
              <w:t>CD164</w:t>
            </w:r>
          </w:p>
        </w:tc>
        <w:tc>
          <w:tcPr>
            <w:tcW w:w="113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24</w:t>
            </w:r>
          </w:p>
        </w:tc>
        <w:tc>
          <w:tcPr>
            <w:tcW w:w="112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Plasma Membrane</w:t>
            </w:r>
          </w:p>
        </w:tc>
        <w:tc>
          <w:tcPr>
            <w:tcW w:w="1579"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other</w:t>
            </w:r>
          </w:p>
        </w:tc>
        <w:tc>
          <w:tcPr>
            <w:tcW w:w="4099"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TIMP3 can regulate migration, invasion and in vivo tumorigenicity of thyroid tumor cells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88" w:type="dxa"/>
            <w:shd w:val="clear" w:color="auto" w:fill="9CC2E5" w:themeFill="accent1" w:themeFillTint="99"/>
            <w:vAlign w:val="center"/>
          </w:tcPr>
          <w:p>
            <w:pPr>
              <w:widowControl/>
              <w:spacing w:before="156" w:beforeLines="50" w:after="156" w:afterLines="50"/>
              <w:jc w:val="center"/>
              <w:textAlignment w:val="center"/>
              <w:rPr>
                <w:rFonts w:ascii="Arial" w:hAnsi="Arial" w:eastAsia="宋体" w:cs="Arial"/>
                <w:b/>
                <w:bCs/>
                <w:sz w:val="16"/>
                <w:szCs w:val="16"/>
              </w:rPr>
            </w:pPr>
            <w:r>
              <w:rPr>
                <w:rFonts w:ascii="Arial" w:hAnsi="Arial" w:eastAsia="宋体" w:cs="Arial"/>
                <w:color w:val="000000"/>
                <w:kern w:val="0"/>
                <w:sz w:val="18"/>
                <w:szCs w:val="18"/>
                <w:lang w:bidi="ar"/>
              </w:rPr>
              <w:t>EPCAM</w:t>
            </w:r>
          </w:p>
        </w:tc>
        <w:tc>
          <w:tcPr>
            <w:tcW w:w="113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24</w:t>
            </w:r>
          </w:p>
        </w:tc>
        <w:tc>
          <w:tcPr>
            <w:tcW w:w="112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Plasma Membrane</w:t>
            </w:r>
          </w:p>
        </w:tc>
        <w:tc>
          <w:tcPr>
            <w:tcW w:w="1579"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other</w:t>
            </w:r>
          </w:p>
        </w:tc>
        <w:tc>
          <w:tcPr>
            <w:tcW w:w="4099"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The decreased EPCAM expression was found to be significantly linked to features of tumor invasion in colorectal cancer, including presence of lymph node metastasis and infiltrating tumor margin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88" w:type="dxa"/>
            <w:shd w:val="clear" w:color="auto" w:fill="9CC2E5" w:themeFill="accent1" w:themeFillTint="99"/>
            <w:vAlign w:val="center"/>
          </w:tcPr>
          <w:p>
            <w:pPr>
              <w:widowControl/>
              <w:spacing w:before="156" w:beforeLines="50" w:after="156" w:afterLines="50"/>
              <w:jc w:val="center"/>
              <w:textAlignment w:val="center"/>
              <w:rPr>
                <w:rFonts w:ascii="Arial" w:hAnsi="Arial" w:eastAsia="宋体" w:cs="Arial"/>
                <w:b/>
                <w:bCs/>
                <w:sz w:val="16"/>
                <w:szCs w:val="16"/>
              </w:rPr>
            </w:pPr>
            <w:r>
              <w:rPr>
                <w:rFonts w:ascii="Arial" w:hAnsi="Arial" w:eastAsia="宋体" w:cs="Arial"/>
                <w:color w:val="000000"/>
                <w:kern w:val="0"/>
                <w:sz w:val="18"/>
                <w:szCs w:val="18"/>
                <w:lang w:bidi="ar"/>
              </w:rPr>
              <w:t>TGB1</w:t>
            </w:r>
          </w:p>
        </w:tc>
        <w:tc>
          <w:tcPr>
            <w:tcW w:w="113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24</w:t>
            </w:r>
          </w:p>
        </w:tc>
        <w:tc>
          <w:tcPr>
            <w:tcW w:w="112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Plasma Membrane</w:t>
            </w:r>
          </w:p>
        </w:tc>
        <w:tc>
          <w:tcPr>
            <w:tcW w:w="1579"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transmembrane receptor</w:t>
            </w:r>
          </w:p>
        </w:tc>
        <w:tc>
          <w:tcPr>
            <w:tcW w:w="4099"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P53-induced miR-30e-5p can inhibit colorectal cancer invasion and metastasis by targeting ITGB1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88" w:type="dxa"/>
            <w:shd w:val="clear" w:color="auto" w:fill="9CC2E5" w:themeFill="accent1" w:themeFillTint="99"/>
            <w:vAlign w:val="center"/>
          </w:tcPr>
          <w:p>
            <w:pPr>
              <w:widowControl/>
              <w:spacing w:before="156" w:beforeLines="50" w:after="156" w:afterLines="50"/>
              <w:jc w:val="center"/>
              <w:textAlignment w:val="center"/>
              <w:rPr>
                <w:rFonts w:ascii="Arial" w:hAnsi="Arial" w:eastAsia="宋体" w:cs="Arial"/>
                <w:b/>
                <w:bCs/>
                <w:sz w:val="16"/>
                <w:szCs w:val="16"/>
              </w:rPr>
            </w:pPr>
            <w:r>
              <w:rPr>
                <w:rFonts w:ascii="Arial" w:hAnsi="Arial" w:eastAsia="宋体" w:cs="Arial"/>
                <w:color w:val="000000"/>
                <w:kern w:val="0"/>
                <w:sz w:val="18"/>
                <w:szCs w:val="18"/>
                <w:lang w:bidi="ar"/>
              </w:rPr>
              <w:t>S100A6</w:t>
            </w:r>
          </w:p>
        </w:tc>
        <w:tc>
          <w:tcPr>
            <w:tcW w:w="113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24</w:t>
            </w:r>
          </w:p>
        </w:tc>
        <w:tc>
          <w:tcPr>
            <w:tcW w:w="1125"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Cytoplasm</w:t>
            </w:r>
          </w:p>
        </w:tc>
        <w:tc>
          <w:tcPr>
            <w:tcW w:w="1579"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transporter</w:t>
            </w:r>
          </w:p>
        </w:tc>
        <w:tc>
          <w:tcPr>
            <w:tcW w:w="4099" w:type="dxa"/>
            <w:shd w:val="clear" w:color="auto" w:fill="FBE5D6" w:themeFill="accent2" w:themeFillTint="32"/>
            <w:vAlign w:val="center"/>
          </w:tcPr>
          <w:p>
            <w:pPr>
              <w:widowControl/>
              <w:spacing w:before="156" w:beforeLines="50" w:after="156" w:afterLines="50"/>
              <w:jc w:val="center"/>
              <w:textAlignment w:val="center"/>
              <w:rPr>
                <w:rFonts w:ascii="Arial" w:hAnsi="Arial" w:cs="Arial"/>
                <w:color w:val="262626" w:themeColor="text1" w:themeTint="D9"/>
                <w:sz w:val="16"/>
                <w:szCs w:val="16"/>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S100A6 can stimulate proliferation and migration of colorectal carcinoma cells through activation of the MAPK pathways [8].</w:t>
            </w:r>
          </w:p>
        </w:tc>
      </w:tr>
    </w:tbl>
    <w:p>
      <w:pPr>
        <w:pStyle w:val="12"/>
        <w:spacing w:before="156" w:beforeLines="50" w:after="156" w:afterLines="50" w:line="360" w:lineRule="auto"/>
        <w:jc w:val="both"/>
        <w:rPr>
          <w:rFonts w:ascii="Arial" w:hAnsi="Arial" w:eastAsia="Gungsuh" w:cs="Arial"/>
          <w:color w:val="auto"/>
          <w:sz w:val="18"/>
          <w:szCs w:val="18"/>
        </w:rPr>
      </w:pPr>
    </w:p>
    <w:p>
      <w:pPr>
        <w:pStyle w:val="12"/>
        <w:spacing w:before="156" w:beforeLines="50" w:after="156" w:afterLines="50" w:line="240" w:lineRule="auto"/>
        <w:jc w:val="both"/>
        <w:rPr>
          <w:rFonts w:ascii="Arial" w:hAnsi="Arial" w:eastAsia="Gungsuh" w:cs="Arial"/>
          <w:color w:val="auto"/>
          <w:sz w:val="18"/>
          <w:szCs w:val="18"/>
        </w:rPr>
      </w:pPr>
      <w:r>
        <w:rPr>
          <w:rFonts w:ascii="Arial" w:hAnsi="Arial" w:eastAsia="Gungsuh" w:cs="Arial"/>
          <w:b/>
          <w:color w:val="auto"/>
          <w:sz w:val="20"/>
          <w:szCs w:val="20"/>
        </w:rPr>
        <w:t>Table</w:t>
      </w:r>
      <w:r>
        <w:rPr>
          <w:rFonts w:hint="eastAsia" w:ascii="Arial" w:hAnsi="Arial" w:eastAsia="宋体" w:cs="Arial"/>
          <w:b/>
          <w:color w:val="auto"/>
          <w:sz w:val="20"/>
          <w:szCs w:val="20"/>
        </w:rPr>
        <w:t xml:space="preserve"> S5 </w:t>
      </w:r>
      <w:r>
        <w:rPr>
          <w:rFonts w:ascii="Arial" w:hAnsi="Arial" w:eastAsia="Gungsuh" w:cs="Arial"/>
          <w:b/>
          <w:color w:val="auto"/>
          <w:sz w:val="20"/>
          <w:szCs w:val="20"/>
        </w:rPr>
        <w:t>Functional enrichment of co</w:t>
      </w:r>
      <w:r>
        <w:rPr>
          <w:rFonts w:ascii="Arial" w:hAnsi="Arial" w:eastAsia="Gungsuh" w:cs="Arial"/>
          <w:b/>
          <w:color w:val="262626" w:themeColor="text1" w:themeTint="D9"/>
          <w:sz w:val="20"/>
          <w:szCs w:val="20"/>
          <w14:textFill>
            <w14:solidFill>
              <w14:schemeClr w14:val="tx1">
                <w14:lumMod w14:val="85000"/>
                <w14:lumOff w14:val="15000"/>
              </w14:schemeClr>
            </w14:solidFill>
          </w14:textFill>
        </w:rPr>
        <w:t xml:space="preserve">mmon </w:t>
      </w:r>
      <w:r>
        <w:rPr>
          <w:rStyle w:val="10"/>
          <w:rFonts w:eastAsia="Gungsuh"/>
          <w:b/>
          <w:color w:val="262626" w:themeColor="text1" w:themeTint="D9"/>
          <w14:textFill>
            <w14:solidFill>
              <w14:schemeClr w14:val="tx1">
                <w14:lumMod w14:val="85000"/>
                <w14:lumOff w14:val="15000"/>
              </w14:schemeClr>
            </w14:solidFill>
          </w14:textFill>
        </w:rPr>
        <w:t>“sKLD-signaling genes”</w:t>
      </w:r>
      <w:r>
        <w:rPr>
          <w:rFonts w:ascii="Arial" w:hAnsi="Arial" w:eastAsia="Gungsuh" w:cs="Arial"/>
          <w:b/>
          <w:color w:val="262626" w:themeColor="text1" w:themeTint="D9"/>
          <w:sz w:val="20"/>
          <w:szCs w:val="20"/>
          <w14:textFill>
            <w14:solidFill>
              <w14:schemeClr w14:val="tx1">
                <w14:lumMod w14:val="85000"/>
                <w14:lumOff w14:val="15000"/>
              </w14:schemeClr>
            </w14:solidFill>
          </w14:textFill>
        </w:rPr>
        <w:t xml:space="preserve"> </w:t>
      </w:r>
      <w:r>
        <w:rPr>
          <w:rFonts w:ascii="Arial" w:hAnsi="Arial" w:eastAsia="Gungsuh" w:cs="Arial"/>
          <w:b/>
          <w:color w:val="auto"/>
          <w:sz w:val="20"/>
          <w:szCs w:val="20"/>
        </w:rPr>
        <w:t>in the critical</w:t>
      </w:r>
      <w:r>
        <w:rPr>
          <w:rFonts w:ascii="Arial" w:hAnsi="Arial" w:eastAsia="Gungsuh" w:cs="Arial"/>
          <w:b/>
          <w:color w:val="auto"/>
          <w:sz w:val="20"/>
          <w:szCs w:val="20"/>
          <w:lang w:eastAsia="ja-JP"/>
        </w:rPr>
        <w:t xml:space="preserve"> </w:t>
      </w:r>
      <w:r>
        <w:rPr>
          <w:rFonts w:ascii="Arial" w:hAnsi="Arial" w:eastAsia="Gungsuh" w:cs="Arial"/>
          <w:b/>
          <w:color w:val="auto"/>
          <w:sz w:val="20"/>
          <w:szCs w:val="20"/>
        </w:rPr>
        <w:t>stage samples for COAD.</w:t>
      </w:r>
      <w:r>
        <w:rPr>
          <w:rFonts w:ascii="Arial" w:hAnsi="Arial" w:eastAsia="Gungsuh" w:cs="Arial"/>
          <w:b/>
          <w:color w:val="auto"/>
          <w:sz w:val="18"/>
          <w:szCs w:val="18"/>
        </w:rPr>
        <w:t xml:space="preserve"> </w:t>
      </w:r>
    </w:p>
    <w:tbl>
      <w:tblPr>
        <w:tblStyle w:val="4"/>
        <w:tblW w:w="9046" w:type="dxa"/>
        <w:jc w:val="center"/>
        <w:tblLayout w:type="fixed"/>
        <w:tblCellMar>
          <w:top w:w="0" w:type="dxa"/>
          <w:left w:w="0" w:type="dxa"/>
          <w:bottom w:w="0" w:type="dxa"/>
          <w:right w:w="0" w:type="dxa"/>
        </w:tblCellMar>
      </w:tblPr>
      <w:tblGrid>
        <w:gridCol w:w="3983"/>
        <w:gridCol w:w="1247"/>
        <w:gridCol w:w="2708"/>
        <w:gridCol w:w="1108"/>
      </w:tblGrid>
      <w:tr>
        <w:tblPrEx>
          <w:tblCellMar>
            <w:top w:w="0" w:type="dxa"/>
            <w:left w:w="0" w:type="dxa"/>
            <w:bottom w:w="0" w:type="dxa"/>
            <w:right w:w="0" w:type="dxa"/>
          </w:tblCellMar>
        </w:tblPrEx>
        <w:trPr>
          <w:trHeight w:val="210" w:hRule="atLeast"/>
          <w:jc w:val="center"/>
        </w:trPr>
        <w:tc>
          <w:tcPr>
            <w:tcW w:w="5230" w:type="dxa"/>
            <w:gridSpan w:val="2"/>
            <w:tcBorders>
              <w:top w:val="single" w:color="FFFFFF" w:sz="6" w:space="0"/>
              <w:left w:val="single" w:color="FFFFFF" w:sz="6" w:space="0"/>
              <w:bottom w:val="single" w:color="FFFFFF" w:sz="18" w:space="0"/>
              <w:right w:val="single" w:color="FFFFFF" w:sz="6" w:space="0"/>
            </w:tcBorders>
            <w:shd w:val="clear" w:color="auto" w:fill="499BC9"/>
            <w:tcMar>
              <w:top w:w="60" w:type="dxa"/>
              <w:left w:w="60" w:type="dxa"/>
              <w:bottom w:w="60" w:type="dxa"/>
              <w:right w:w="60" w:type="dxa"/>
            </w:tcMar>
            <w:vAlign w:val="center"/>
          </w:tcPr>
          <w:p>
            <w:pPr>
              <w:spacing w:before="156" w:beforeLines="50" w:after="156" w:afterLines="50"/>
              <w:jc w:val="center"/>
              <w:rPr>
                <w:rFonts w:ascii="Arial" w:hAnsi="Arial" w:cs="Arial"/>
                <w:sz w:val="20"/>
                <w:szCs w:val="20"/>
              </w:rPr>
            </w:pPr>
            <w:r>
              <w:rPr>
                <w:rFonts w:ascii="Arial" w:hAnsi="Arial" w:cs="Arial"/>
                <w:b/>
                <w:bCs/>
                <w:sz w:val="20"/>
                <w:szCs w:val="20"/>
              </w:rPr>
              <w:t>Gene Ontology Consortium</w:t>
            </w:r>
          </w:p>
        </w:tc>
        <w:tc>
          <w:tcPr>
            <w:tcW w:w="3816" w:type="dxa"/>
            <w:gridSpan w:val="2"/>
            <w:tcBorders>
              <w:top w:val="single" w:color="FFFFFF" w:sz="6" w:space="0"/>
              <w:left w:val="single" w:color="FFFFFF" w:sz="6" w:space="0"/>
              <w:bottom w:val="single" w:color="FFFFFF" w:sz="18" w:space="0"/>
              <w:right w:val="single" w:color="FFFFFF" w:sz="6" w:space="0"/>
            </w:tcBorders>
            <w:shd w:val="clear" w:color="auto" w:fill="499BC9"/>
            <w:tcMar>
              <w:top w:w="60" w:type="dxa"/>
              <w:left w:w="60" w:type="dxa"/>
              <w:bottom w:w="60" w:type="dxa"/>
              <w:right w:w="60" w:type="dxa"/>
            </w:tcMar>
            <w:vAlign w:val="center"/>
          </w:tcPr>
          <w:p>
            <w:pPr>
              <w:spacing w:before="156" w:beforeLines="50" w:after="156" w:afterLines="50"/>
              <w:jc w:val="center"/>
              <w:rPr>
                <w:rFonts w:ascii="Arial" w:hAnsi="Arial" w:cs="Arial"/>
                <w:sz w:val="20"/>
                <w:szCs w:val="20"/>
              </w:rPr>
            </w:pPr>
            <w:r>
              <w:rPr>
                <w:rFonts w:ascii="Arial" w:hAnsi="Arial" w:cs="Arial"/>
                <w:b/>
                <w:bCs/>
                <w:sz w:val="20"/>
                <w:szCs w:val="20"/>
              </w:rPr>
              <w:t>IPA</w:t>
            </w:r>
          </w:p>
        </w:tc>
      </w:tr>
      <w:tr>
        <w:tblPrEx>
          <w:tblCellMar>
            <w:top w:w="0" w:type="dxa"/>
            <w:left w:w="0" w:type="dxa"/>
            <w:bottom w:w="0" w:type="dxa"/>
            <w:right w:w="0" w:type="dxa"/>
          </w:tblCellMar>
        </w:tblPrEx>
        <w:trPr>
          <w:trHeight w:val="570" w:hRule="atLeast"/>
          <w:jc w:val="center"/>
        </w:trPr>
        <w:tc>
          <w:tcPr>
            <w:tcW w:w="3983" w:type="dxa"/>
            <w:tcBorders>
              <w:top w:val="single" w:color="FFFFFF" w:sz="18"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spacing w:before="156" w:beforeLines="50" w:after="156" w:afterLines="50"/>
              <w:jc w:val="center"/>
              <w:rPr>
                <w:rFonts w:ascii="Arial" w:hAnsi="Arial" w:cs="Arial"/>
                <w:sz w:val="18"/>
                <w:szCs w:val="18"/>
              </w:rPr>
            </w:pPr>
            <w:r>
              <w:rPr>
                <w:rFonts w:ascii="Arial" w:hAnsi="Arial" w:cs="Arial"/>
                <w:b/>
                <w:bCs/>
                <w:sz w:val="18"/>
                <w:szCs w:val="18"/>
              </w:rPr>
              <w:t>enriched biological process</w:t>
            </w:r>
          </w:p>
        </w:tc>
        <w:tc>
          <w:tcPr>
            <w:tcW w:w="1247" w:type="dxa"/>
            <w:tcBorders>
              <w:top w:val="single" w:color="FFFFFF" w:sz="18"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spacing w:before="156" w:beforeLines="50" w:after="156" w:afterLines="50"/>
              <w:jc w:val="center"/>
              <w:rPr>
                <w:rFonts w:ascii="Arial" w:hAnsi="Arial" w:cs="Arial"/>
                <w:sz w:val="18"/>
                <w:szCs w:val="18"/>
              </w:rPr>
            </w:pPr>
            <w:r>
              <w:rPr>
                <w:rFonts w:ascii="Arial" w:hAnsi="Arial" w:cs="Arial"/>
                <w:b/>
                <w:bCs/>
                <w:sz w:val="18"/>
                <w:szCs w:val="18"/>
              </w:rPr>
              <w:t xml:space="preserve">enriched </w:t>
            </w:r>
            <w:r>
              <w:rPr>
                <w:rFonts w:ascii="Arial" w:hAnsi="Arial" w:cs="Arial"/>
                <w:b/>
                <w:bCs/>
                <w:i/>
                <w:iCs/>
                <w:sz w:val="18"/>
                <w:szCs w:val="18"/>
              </w:rPr>
              <w:t>p</w:t>
            </w:r>
            <w:r>
              <w:rPr>
                <w:rFonts w:ascii="Arial" w:hAnsi="Arial" w:cs="Arial"/>
                <w:b/>
                <w:bCs/>
                <w:sz w:val="18"/>
                <w:szCs w:val="18"/>
              </w:rPr>
              <w:t xml:space="preserve"> value</w:t>
            </w:r>
          </w:p>
        </w:tc>
        <w:tc>
          <w:tcPr>
            <w:tcW w:w="2708" w:type="dxa"/>
            <w:tcBorders>
              <w:top w:val="single" w:color="FFFFFF" w:sz="18"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spacing w:before="156" w:beforeLines="50" w:after="156" w:afterLines="50"/>
              <w:jc w:val="center"/>
              <w:rPr>
                <w:rFonts w:ascii="Arial" w:hAnsi="Arial" w:cs="Arial"/>
                <w:sz w:val="18"/>
                <w:szCs w:val="18"/>
              </w:rPr>
            </w:pPr>
            <w:r>
              <w:rPr>
                <w:rFonts w:ascii="Arial" w:hAnsi="Arial" w:cs="Arial"/>
                <w:b/>
                <w:bCs/>
                <w:sz w:val="18"/>
                <w:szCs w:val="18"/>
              </w:rPr>
              <w:t>enriched biological process</w:t>
            </w:r>
          </w:p>
        </w:tc>
        <w:tc>
          <w:tcPr>
            <w:tcW w:w="1108" w:type="dxa"/>
            <w:tcBorders>
              <w:top w:val="single" w:color="FFFFFF" w:sz="18"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spacing w:before="156" w:beforeLines="50" w:after="156" w:afterLines="50"/>
              <w:jc w:val="center"/>
              <w:rPr>
                <w:rFonts w:ascii="Arial" w:hAnsi="Arial" w:cs="Arial"/>
                <w:sz w:val="18"/>
                <w:szCs w:val="18"/>
              </w:rPr>
            </w:pPr>
            <w:r>
              <w:rPr>
                <w:rFonts w:ascii="Arial" w:hAnsi="Arial" w:cs="Arial"/>
                <w:b/>
                <w:bCs/>
                <w:sz w:val="18"/>
                <w:szCs w:val="18"/>
              </w:rPr>
              <w:t xml:space="preserve">enriched </w:t>
            </w:r>
            <w:r>
              <w:rPr>
                <w:rFonts w:ascii="Arial" w:hAnsi="Arial" w:cs="Arial"/>
                <w:b/>
                <w:bCs/>
                <w:i/>
                <w:iCs/>
                <w:sz w:val="18"/>
                <w:szCs w:val="18"/>
              </w:rPr>
              <w:t>p</w:t>
            </w:r>
            <w:r>
              <w:rPr>
                <w:rFonts w:ascii="Arial" w:hAnsi="Arial" w:cs="Arial"/>
                <w:b/>
                <w:bCs/>
                <w:sz w:val="18"/>
                <w:szCs w:val="18"/>
              </w:rPr>
              <w:t xml:space="preserve"> value</w:t>
            </w:r>
          </w:p>
        </w:tc>
      </w:tr>
      <w:tr>
        <w:tblPrEx>
          <w:tblCellMar>
            <w:top w:w="0" w:type="dxa"/>
            <w:left w:w="0" w:type="dxa"/>
            <w:bottom w:w="0" w:type="dxa"/>
            <w:right w:w="0" w:type="dxa"/>
          </w:tblCellMar>
        </w:tblPrEx>
        <w:trPr>
          <w:trHeight w:val="90" w:hRule="atLeast"/>
          <w:jc w:val="center"/>
        </w:trPr>
        <w:tc>
          <w:tcPr>
            <w:tcW w:w="3983" w:type="dxa"/>
            <w:tcBorders>
              <w:top w:val="single" w:color="FFFFFF" w:sz="6" w:space="0"/>
              <w:left w:val="single" w:color="FFFFFF" w:sz="6" w:space="0"/>
              <w:bottom w:val="single" w:color="FFFFFF" w:sz="6" w:space="0"/>
              <w:right w:val="single" w:color="FFFFFF" w:sz="6" w:space="0"/>
            </w:tcBorders>
            <w:shd w:val="clear" w:color="auto" w:fill="DEEBF6" w:themeFill="accent1" w:themeFillTint="32"/>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extracellular matrix organization (GO:0030198)</w:t>
            </w:r>
          </w:p>
        </w:tc>
        <w:tc>
          <w:tcPr>
            <w:tcW w:w="1247" w:type="dxa"/>
            <w:tcBorders>
              <w:top w:val="single" w:color="FFFFFF" w:sz="6" w:space="0"/>
              <w:left w:val="single" w:color="FFFFFF" w:sz="6" w:space="0"/>
              <w:bottom w:val="single" w:color="FFFFFF" w:sz="6" w:space="0"/>
              <w:right w:val="single" w:color="FFFFFF" w:sz="6" w:space="0"/>
            </w:tcBorders>
            <w:shd w:val="clear" w:color="auto" w:fill="DEEBF6" w:themeFill="accent1" w:themeFillTint="32"/>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3.32E-14</w:t>
            </w:r>
          </w:p>
        </w:tc>
        <w:tc>
          <w:tcPr>
            <w:tcW w:w="2708" w:type="dxa"/>
            <w:tcBorders>
              <w:top w:val="single" w:color="FFFFFF" w:sz="6" w:space="0"/>
              <w:left w:val="single" w:color="FFFFFF" w:sz="6" w:space="0"/>
              <w:bottom w:val="single" w:color="FFFFFF" w:sz="6" w:space="0"/>
              <w:right w:val="single" w:color="FFFFFF" w:sz="6" w:space="0"/>
            </w:tcBorders>
            <w:shd w:val="clear" w:color="auto" w:fill="DEEBF6" w:themeFill="accent1" w:themeFillTint="32"/>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digestive organ tumor</w:t>
            </w:r>
          </w:p>
        </w:tc>
        <w:tc>
          <w:tcPr>
            <w:tcW w:w="1108" w:type="dxa"/>
            <w:tcBorders>
              <w:top w:val="single" w:color="FFFFFF" w:sz="6" w:space="0"/>
              <w:left w:val="single" w:color="FFFFFF" w:sz="6" w:space="0"/>
              <w:bottom w:val="single" w:color="FFFFFF" w:sz="6" w:space="0"/>
              <w:right w:val="single" w:color="FFFFFF" w:sz="6" w:space="0"/>
            </w:tcBorders>
            <w:shd w:val="clear" w:color="auto" w:fill="DEEBF6" w:themeFill="accent1" w:themeFillTint="32"/>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4.04E-51</w:t>
            </w:r>
          </w:p>
        </w:tc>
      </w:tr>
      <w:tr>
        <w:tblPrEx>
          <w:tblCellMar>
            <w:top w:w="0" w:type="dxa"/>
            <w:left w:w="0" w:type="dxa"/>
            <w:bottom w:w="0" w:type="dxa"/>
            <w:right w:w="0" w:type="dxa"/>
          </w:tblCellMar>
        </w:tblPrEx>
        <w:trPr>
          <w:trHeight w:val="315" w:hRule="atLeast"/>
          <w:jc w:val="center"/>
        </w:trPr>
        <w:tc>
          <w:tcPr>
            <w:tcW w:w="3983"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collagen fibril organization (GO:0030199)</w:t>
            </w:r>
          </w:p>
        </w:tc>
        <w:tc>
          <w:tcPr>
            <w:tcW w:w="1247"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5.31E-13</w:t>
            </w:r>
          </w:p>
        </w:tc>
        <w:tc>
          <w:tcPr>
            <w:tcW w:w="2708"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digestive system cancer</w:t>
            </w:r>
          </w:p>
        </w:tc>
        <w:tc>
          <w:tcPr>
            <w:tcW w:w="1108"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1.63E-50</w:t>
            </w:r>
          </w:p>
        </w:tc>
      </w:tr>
      <w:tr>
        <w:tblPrEx>
          <w:tblCellMar>
            <w:top w:w="0" w:type="dxa"/>
            <w:left w:w="0" w:type="dxa"/>
            <w:bottom w:w="0" w:type="dxa"/>
            <w:right w:w="0" w:type="dxa"/>
          </w:tblCellMar>
        </w:tblPrEx>
        <w:trPr>
          <w:trHeight w:val="330" w:hRule="atLeast"/>
          <w:jc w:val="center"/>
        </w:trPr>
        <w:tc>
          <w:tcPr>
            <w:tcW w:w="3983" w:type="dxa"/>
            <w:tcBorders>
              <w:top w:val="single" w:color="FFFFFF" w:sz="6" w:space="0"/>
              <w:left w:val="single" w:color="FFFFFF" w:sz="6" w:space="0"/>
              <w:bottom w:val="single" w:color="FFFFFF" w:sz="6" w:space="0"/>
              <w:right w:val="single" w:color="FFFFFF" w:sz="6" w:space="0"/>
            </w:tcBorders>
            <w:shd w:val="clear" w:color="auto" w:fill="E8EEF5"/>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ribosome biogenesis (GO:0042254)</w:t>
            </w:r>
          </w:p>
        </w:tc>
        <w:tc>
          <w:tcPr>
            <w:tcW w:w="1247" w:type="dxa"/>
            <w:tcBorders>
              <w:top w:val="single" w:color="FFFFFF" w:sz="6" w:space="0"/>
              <w:left w:val="single" w:color="FFFFFF" w:sz="6" w:space="0"/>
              <w:bottom w:val="single" w:color="FFFFFF" w:sz="6" w:space="0"/>
              <w:right w:val="single" w:color="FFFFFF" w:sz="6" w:space="0"/>
            </w:tcBorders>
            <w:shd w:val="clear" w:color="auto" w:fill="E8EEF5"/>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1.08E-09</w:t>
            </w:r>
          </w:p>
        </w:tc>
        <w:tc>
          <w:tcPr>
            <w:tcW w:w="2708" w:type="dxa"/>
            <w:tcBorders>
              <w:top w:val="single" w:color="FFFFFF" w:sz="6" w:space="0"/>
              <w:left w:val="single" w:color="FFFFFF" w:sz="6" w:space="0"/>
              <w:bottom w:val="single" w:color="FFFFFF" w:sz="6" w:space="0"/>
              <w:right w:val="single" w:color="FFFFFF" w:sz="6" w:space="0"/>
            </w:tcBorders>
            <w:shd w:val="clear" w:color="auto" w:fill="E8EEF5"/>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abdominal cancer</w:t>
            </w:r>
          </w:p>
        </w:tc>
        <w:tc>
          <w:tcPr>
            <w:tcW w:w="1108" w:type="dxa"/>
            <w:tcBorders>
              <w:top w:val="single" w:color="FFFFFF" w:sz="6" w:space="0"/>
              <w:left w:val="single" w:color="FFFFFF" w:sz="6" w:space="0"/>
              <w:bottom w:val="single" w:color="FFFFFF" w:sz="6" w:space="0"/>
              <w:right w:val="single" w:color="FFFFFF" w:sz="6" w:space="0"/>
            </w:tcBorders>
            <w:shd w:val="clear" w:color="auto" w:fill="E8EEF5"/>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2.07E-49</w:t>
            </w:r>
          </w:p>
        </w:tc>
      </w:tr>
      <w:tr>
        <w:tblPrEx>
          <w:tblCellMar>
            <w:top w:w="0" w:type="dxa"/>
            <w:left w:w="0" w:type="dxa"/>
            <w:bottom w:w="0" w:type="dxa"/>
            <w:right w:w="0" w:type="dxa"/>
          </w:tblCellMar>
        </w:tblPrEx>
        <w:trPr>
          <w:trHeight w:val="315" w:hRule="atLeast"/>
          <w:jc w:val="center"/>
        </w:trPr>
        <w:tc>
          <w:tcPr>
            <w:tcW w:w="3983"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regulation of cell cycle (GO:0051726)</w:t>
            </w:r>
          </w:p>
        </w:tc>
        <w:tc>
          <w:tcPr>
            <w:tcW w:w="1247"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1.61E-08</w:t>
            </w:r>
          </w:p>
        </w:tc>
        <w:tc>
          <w:tcPr>
            <w:tcW w:w="2708"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gastrointestinal tract cancer</w:t>
            </w:r>
          </w:p>
        </w:tc>
        <w:tc>
          <w:tcPr>
            <w:tcW w:w="1108"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7.11E-45</w:t>
            </w:r>
          </w:p>
        </w:tc>
      </w:tr>
      <w:tr>
        <w:tblPrEx>
          <w:tblCellMar>
            <w:top w:w="0" w:type="dxa"/>
            <w:left w:w="0" w:type="dxa"/>
            <w:bottom w:w="0" w:type="dxa"/>
            <w:right w:w="0" w:type="dxa"/>
          </w:tblCellMar>
        </w:tblPrEx>
        <w:trPr>
          <w:trHeight w:val="330" w:hRule="atLeast"/>
          <w:jc w:val="center"/>
        </w:trPr>
        <w:tc>
          <w:tcPr>
            <w:tcW w:w="3983" w:type="dxa"/>
            <w:tcBorders>
              <w:top w:val="single" w:color="FFFFFF" w:sz="6" w:space="0"/>
              <w:left w:val="single" w:color="FFFFFF" w:sz="6" w:space="0"/>
              <w:bottom w:val="single" w:color="FFFFFF" w:sz="6" w:space="0"/>
              <w:right w:val="single" w:color="FFFFFF" w:sz="6" w:space="0"/>
            </w:tcBorders>
            <w:shd w:val="clear" w:color="auto" w:fill="E8EEF5"/>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collagen metabolic process (GO:0032963)</w:t>
            </w:r>
          </w:p>
        </w:tc>
        <w:tc>
          <w:tcPr>
            <w:tcW w:w="1247" w:type="dxa"/>
            <w:tcBorders>
              <w:top w:val="single" w:color="FFFFFF" w:sz="6" w:space="0"/>
              <w:left w:val="single" w:color="FFFFFF" w:sz="6" w:space="0"/>
              <w:bottom w:val="single" w:color="FFFFFF" w:sz="6" w:space="0"/>
              <w:right w:val="single" w:color="FFFFFF" w:sz="6" w:space="0"/>
            </w:tcBorders>
            <w:shd w:val="clear" w:color="auto" w:fill="E8EEF5"/>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3.67E-05</w:t>
            </w:r>
          </w:p>
        </w:tc>
        <w:tc>
          <w:tcPr>
            <w:tcW w:w="2708" w:type="dxa"/>
            <w:tcBorders>
              <w:top w:val="single" w:color="FFFFFF" w:sz="6" w:space="0"/>
              <w:left w:val="single" w:color="FFFFFF" w:sz="6" w:space="0"/>
              <w:bottom w:val="single" w:color="FFFFFF" w:sz="6" w:space="0"/>
              <w:right w:val="single" w:color="FFFFFF" w:sz="6" w:space="0"/>
            </w:tcBorders>
            <w:shd w:val="clear" w:color="auto" w:fill="E8EEF5"/>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gastrointestinal carcinoma</w:t>
            </w:r>
          </w:p>
        </w:tc>
        <w:tc>
          <w:tcPr>
            <w:tcW w:w="1108" w:type="dxa"/>
            <w:tcBorders>
              <w:top w:val="single" w:color="FFFFFF" w:sz="6" w:space="0"/>
              <w:left w:val="single" w:color="FFFFFF" w:sz="6" w:space="0"/>
              <w:bottom w:val="single" w:color="FFFFFF" w:sz="6" w:space="0"/>
              <w:right w:val="single" w:color="FFFFFF" w:sz="6" w:space="0"/>
            </w:tcBorders>
            <w:shd w:val="clear" w:color="auto" w:fill="E8EEF5"/>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1.49E-44</w:t>
            </w:r>
          </w:p>
        </w:tc>
      </w:tr>
      <w:tr>
        <w:tblPrEx>
          <w:tblCellMar>
            <w:top w:w="0" w:type="dxa"/>
            <w:left w:w="0" w:type="dxa"/>
            <w:bottom w:w="0" w:type="dxa"/>
            <w:right w:w="0" w:type="dxa"/>
          </w:tblCellMar>
        </w:tblPrEx>
        <w:trPr>
          <w:trHeight w:val="330" w:hRule="atLeast"/>
          <w:jc w:val="center"/>
        </w:trPr>
        <w:tc>
          <w:tcPr>
            <w:tcW w:w="3983"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regulation of protein ubiquitination (GO:0031396)</w:t>
            </w:r>
          </w:p>
        </w:tc>
        <w:tc>
          <w:tcPr>
            <w:tcW w:w="1247"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center"/>
          </w:tcPr>
          <w:p>
            <w:pPr>
              <w:widowControl/>
              <w:spacing w:before="156" w:beforeLines="50" w:after="156" w:afterLines="50"/>
              <w:jc w:val="center"/>
              <w:textAlignment w:val="center"/>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9.60E-05</w:t>
            </w:r>
          </w:p>
        </w:tc>
        <w:tc>
          <w:tcPr>
            <w:tcW w:w="2708"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development of digestive organ tumor</w:t>
            </w:r>
          </w:p>
        </w:tc>
        <w:tc>
          <w:tcPr>
            <w:tcW w:w="1108" w:type="dxa"/>
            <w:tcBorders>
              <w:top w:val="single" w:color="FFFFFF" w:sz="6" w:space="0"/>
              <w:left w:val="single" w:color="FFFFFF" w:sz="6" w:space="0"/>
              <w:bottom w:val="single" w:color="FFFFFF" w:sz="6" w:space="0"/>
              <w:right w:val="single" w:color="FFFFFF" w:sz="6" w:space="0"/>
            </w:tcBorders>
            <w:shd w:val="clear" w:color="auto" w:fill="BDD6EE" w:themeFill="accent1" w:themeFillTint="66"/>
            <w:tcMar>
              <w:top w:w="60" w:type="dxa"/>
              <w:left w:w="60" w:type="dxa"/>
              <w:bottom w:w="60" w:type="dxa"/>
              <w:right w:w="60" w:type="dxa"/>
            </w:tcMar>
            <w:vAlign w:val="bottom"/>
          </w:tcPr>
          <w:p>
            <w:pPr>
              <w:widowControl/>
              <w:spacing w:before="156" w:beforeLines="50" w:after="156" w:afterLines="50"/>
              <w:jc w:val="center"/>
              <w:textAlignment w:val="bottom"/>
              <w:rPr>
                <w:rFonts w:ascii="Arial" w:hAnsi="Arial" w:cs="Arial"/>
                <w:color w:val="262626" w:themeColor="text1" w:themeTint="D9"/>
                <w:sz w:val="18"/>
                <w:szCs w:val="18"/>
                <w14:textFill>
                  <w14:solidFill>
                    <w14:schemeClr w14:val="tx1">
                      <w14:lumMod w14:val="85000"/>
                      <w14:lumOff w14:val="15000"/>
                    </w14:schemeClr>
                  </w14:solidFill>
                </w14:textFill>
              </w:rPr>
            </w:pPr>
            <w:r>
              <w:rPr>
                <w:rFonts w:ascii="Arial" w:hAnsi="Arial" w:eastAsia="宋体" w:cs="Arial"/>
                <w:color w:val="000000"/>
                <w:kern w:val="0"/>
                <w:sz w:val="18"/>
                <w:szCs w:val="18"/>
                <w:lang w:bidi="ar"/>
              </w:rPr>
              <w:t>5.90E-27</w:t>
            </w:r>
          </w:p>
        </w:tc>
      </w:tr>
    </w:tbl>
    <w:p>
      <w:pPr>
        <w:spacing w:before="156" w:beforeLines="50" w:after="156" w:afterLines="50" w:line="360" w:lineRule="auto"/>
        <w:rPr>
          <w:rFonts w:ascii="Times New Roman" w:hAnsi="Times New Roman" w:cs="Times New Roman"/>
          <w:sz w:val="24"/>
        </w:rPr>
      </w:pPr>
    </w:p>
    <w:p>
      <w:pPr>
        <w:spacing w:before="156" w:beforeLines="50" w:after="156" w:afterLines="50" w:line="360" w:lineRule="auto"/>
        <w:rPr>
          <w:rFonts w:ascii="Times New Roman" w:hAnsi="Times New Roman" w:cs="Times New Roman"/>
          <w:sz w:val="24"/>
        </w:rPr>
      </w:pPr>
      <w:r>
        <w:rPr>
          <w:rStyle w:val="11"/>
          <w:rFonts w:hint="eastAsia" w:ascii="Arial" w:hAnsi="Arial" w:eastAsia="宋体" w:cs="Arial"/>
          <w:b/>
          <w:bCs/>
          <w:color w:val="0D0D0D" w:themeColor="text1" w:themeTint="F2"/>
          <w:sz w:val="20"/>
          <w:szCs w:val="20"/>
          <w14:textFill>
            <w14:solidFill>
              <w14:schemeClr w14:val="tx1">
                <w14:lumMod w14:val="95000"/>
                <w14:lumOff w14:val="5000"/>
              </w14:schemeClr>
            </w14:solidFill>
          </w14:textFill>
        </w:rPr>
        <w:t xml:space="preserve">C3. </w:t>
      </w:r>
      <w:r>
        <w:rPr>
          <w:rFonts w:ascii="Arial" w:hAnsi="Arial" w:cs="Arial"/>
          <w:b/>
          <w:bCs/>
          <w:sz w:val="22"/>
          <w:szCs w:val="22"/>
        </w:rPr>
        <w:t xml:space="preserve">The application of </w:t>
      </w:r>
      <w:r>
        <w:rPr>
          <w:rFonts w:hint="eastAsia" w:ascii="Arial" w:hAnsi="Arial" w:cs="Arial"/>
          <w:b/>
          <w:bCs/>
          <w:sz w:val="22"/>
          <w:szCs w:val="22"/>
        </w:rPr>
        <w:t>sKLD</w:t>
      </w:r>
      <w:r>
        <w:rPr>
          <w:rFonts w:ascii="Arial" w:hAnsi="Arial" w:cs="Arial"/>
          <w:b/>
          <w:bCs/>
          <w:sz w:val="22"/>
          <w:szCs w:val="22"/>
        </w:rPr>
        <w:t xml:space="preserve"> in influenza infection dataset</w:t>
      </w:r>
    </w:p>
    <w:p>
      <w:pPr>
        <w:snapToGrid w:val="0"/>
        <w:spacing w:before="156" w:beforeLines="50" w:after="156" w:afterLines="50" w:line="360" w:lineRule="auto"/>
        <w:rPr>
          <w:rFonts w:ascii="Arial" w:hAnsi="Arial" w:cs="Arial"/>
          <w:sz w:val="20"/>
          <w:szCs w:val="20"/>
        </w:rPr>
      </w:pPr>
      <w:r>
        <w:rPr>
          <w:rFonts w:ascii="Arial" w:hAnsi="Arial" w:cs="Arial"/>
          <w:sz w:val="20"/>
          <w:szCs w:val="20"/>
        </w:rPr>
        <w:t xml:space="preserve">Dataset GSE30550 was generated from </w:t>
      </w:r>
      <w:r>
        <w:rPr>
          <w:rFonts w:ascii="Arial" w:hAnsi="Arial" w:eastAsia="MyriadPro-Light" w:cs="Arial"/>
          <w:sz w:val="20"/>
          <w:szCs w:val="20"/>
          <w:shd w:val="clear" w:color="auto" w:fill="FFFFFF"/>
        </w:rPr>
        <w:t>a human challenge of</w:t>
      </w:r>
      <w:r>
        <w:rPr>
          <w:rFonts w:ascii="Arial" w:hAnsi="Arial" w:cs="Arial"/>
          <w:sz w:val="20"/>
          <w:szCs w:val="20"/>
        </w:rPr>
        <w:t xml:space="preserve"> live influenza infection. </w:t>
      </w:r>
      <w:r>
        <w:rPr>
          <w:rFonts w:hint="eastAsia" w:ascii="Arial" w:hAnsi="Arial" w:cs="Arial"/>
          <w:sz w:val="20"/>
          <w:szCs w:val="20"/>
        </w:rPr>
        <w:t>T</w:t>
      </w:r>
      <w:r>
        <w:rPr>
          <w:rFonts w:ascii="Arial" w:hAnsi="Arial" w:cs="Arial"/>
          <w:sz w:val="20"/>
          <w:szCs w:val="20"/>
        </w:rPr>
        <w:t>he time-course dataset for influenza virus infection</w:t>
      </w:r>
      <w:r>
        <w:rPr>
          <w:rFonts w:hint="eastAsia" w:ascii="Arial" w:hAnsi="Arial" w:cs="Arial"/>
          <w:sz w:val="20"/>
          <w:szCs w:val="20"/>
        </w:rPr>
        <w:t xml:space="preserve"> </w:t>
      </w:r>
      <w:r>
        <w:rPr>
          <w:rFonts w:ascii="Arial" w:hAnsi="Arial" w:cs="Arial"/>
          <w:sz w:val="20"/>
          <w:szCs w:val="20"/>
        </w:rPr>
        <w:t>process (GSE30550) can be</w:t>
      </w:r>
      <w:r>
        <w:rPr>
          <w:rFonts w:hint="eastAsia" w:ascii="Arial" w:hAnsi="Arial" w:cs="Arial"/>
          <w:sz w:val="20"/>
          <w:szCs w:val="20"/>
        </w:rPr>
        <w:t xml:space="preserve"> </w:t>
      </w:r>
      <w:r>
        <w:rPr>
          <w:rFonts w:ascii="Arial" w:hAnsi="Arial" w:cs="Arial"/>
          <w:sz w:val="20"/>
          <w:szCs w:val="20"/>
        </w:rPr>
        <w:t>downloaded from the NCBI GEO database (www.ncbi.nlm.nih.gov/geo)</w:t>
      </w:r>
      <w:r>
        <w:rPr>
          <w:rFonts w:hint="eastAsia" w:ascii="Arial" w:hAnsi="Arial" w:cs="Arial"/>
          <w:sz w:val="20"/>
          <w:szCs w:val="20"/>
        </w:rPr>
        <w:t xml:space="preserve">. </w:t>
      </w:r>
      <w:r>
        <w:rPr>
          <w:rFonts w:ascii="Arial" w:hAnsi="Arial" w:cs="Arial"/>
          <w:sz w:val="20"/>
          <w:szCs w:val="20"/>
        </w:rPr>
        <w:t>For omics data (GSE30550), we discarded the probes without corresponding NCBI Entrez gene symbol. After removing any redundancy in dataset GSE30550, we obtained 11,451 molecules through probe mapping. For each gene mapped by multiple probes, the</w:t>
      </w:r>
      <w:r>
        <w:rPr>
          <w:rFonts w:hint="eastAsia" w:ascii="Arial" w:hAnsi="Arial" w:cs="Arial"/>
          <w:sz w:val="20"/>
          <w:szCs w:val="20"/>
        </w:rPr>
        <w:t xml:space="preserve"> </w:t>
      </w:r>
      <w:r>
        <w:rPr>
          <w:rFonts w:ascii="Arial" w:hAnsi="Arial" w:cs="Arial"/>
          <w:sz w:val="20"/>
          <w:szCs w:val="20"/>
        </w:rPr>
        <w:t>average value was employed as the gene expression.</w:t>
      </w:r>
      <w:r>
        <w:rPr>
          <w:rFonts w:hint="eastAsia" w:ascii="Arial" w:hAnsi="Arial" w:cs="Arial"/>
          <w:sz w:val="20"/>
          <w:szCs w:val="20"/>
        </w:rPr>
        <w:t xml:space="preserve"> </w:t>
      </w:r>
      <w:r>
        <w:rPr>
          <w:rFonts w:ascii="Arial" w:hAnsi="Arial" w:cs="Arial"/>
          <w:sz w:val="20"/>
          <w:szCs w:val="20"/>
        </w:rPr>
        <w:t xml:space="preserve">The gene expression profiles were derived in the whole peripheral blood drawn from all subjects at 16 time points, i.e., </w:t>
      </w:r>
      <w:r>
        <w:rPr>
          <w:rFonts w:hint="eastAsia" w:ascii="Arial" w:hAnsi="Arial" w:cs="Arial"/>
          <w:sz w:val="20"/>
          <w:szCs w:val="20"/>
        </w:rPr>
        <w:t>-</w:t>
      </w:r>
      <w:r>
        <w:rPr>
          <w:rFonts w:ascii="Arial" w:hAnsi="Arial" w:cs="Arial"/>
          <w:sz w:val="20"/>
          <w:szCs w:val="20"/>
        </w:rPr>
        <w:t>24 hours before injection</w:t>
      </w:r>
      <w:r>
        <w:rPr>
          <w:rFonts w:hint="eastAsia" w:ascii="Arial" w:hAnsi="Arial" w:cs="Arial"/>
          <w:sz w:val="20"/>
          <w:szCs w:val="20"/>
        </w:rPr>
        <w:t xml:space="preserve"> </w:t>
      </w:r>
      <w:r>
        <w:rPr>
          <w:rFonts w:ascii="Arial" w:hAnsi="Arial" w:cs="Arial"/>
          <w:sz w:val="20"/>
          <w:szCs w:val="20"/>
        </w:rPr>
        <w:t>0, 5, 12, 21, 29, 36, 45, 53, 60, 69, 77, 84, 93, 101, 108 hours after the injection. At each time point, there was only a single sample for each subject. We applied the proposed method to the time-course dataset of live influenza infection (GSE30550), in which there were seventeen subjects who received injection of influenza virus</w:t>
      </w:r>
      <w:r>
        <w:rPr>
          <w:rFonts w:hint="eastAsia" w:ascii="Arial" w:hAnsi="Arial" w:cs="Arial"/>
          <w:sz w:val="20"/>
          <w:szCs w:val="20"/>
        </w:rPr>
        <w:t xml:space="preserve"> </w:t>
      </w:r>
      <w:r>
        <w:rPr>
          <w:rFonts w:ascii="Arial" w:hAnsi="Arial" w:cs="Arial"/>
          <w:sz w:val="20"/>
          <w:szCs w:val="20"/>
        </w:rPr>
        <w:t>(H3N2/Wisconsin). Among the seventeen subjects, nine</w:t>
      </w:r>
      <w:r>
        <w:rPr>
          <w:rFonts w:hint="eastAsia" w:ascii="Arial" w:hAnsi="Arial" w:cs="Arial"/>
          <w:sz w:val="20"/>
          <w:szCs w:val="20"/>
        </w:rPr>
        <w:t xml:space="preserve"> </w:t>
      </w:r>
      <w:r>
        <w:rPr>
          <w:rFonts w:ascii="Arial" w:hAnsi="Arial" w:cs="Arial"/>
          <w:sz w:val="20"/>
          <w:szCs w:val="20"/>
        </w:rPr>
        <w:t>were infected who showed clinic symptoms including stuffy nose, scratchy throat, headache, cough, fever, myalgias etc</w:t>
      </w:r>
      <w:r>
        <w:rPr>
          <w:rFonts w:hint="eastAsia" w:ascii="Arial" w:hAnsi="Arial" w:cs="Arial"/>
          <w:sz w:val="20"/>
          <w:szCs w:val="20"/>
        </w:rPr>
        <w:t xml:space="preserve">. </w:t>
      </w:r>
      <w:r>
        <w:rPr>
          <w:rFonts w:ascii="Arial" w:hAnsi="Arial" w:cs="Arial"/>
          <w:sz w:val="20"/>
          <w:szCs w:val="20"/>
        </w:rPr>
        <w:t>The</w:t>
      </w:r>
      <w:r>
        <w:rPr>
          <w:rFonts w:hint="eastAsia" w:ascii="Arial" w:hAnsi="Arial" w:cs="Arial"/>
          <w:sz w:val="20"/>
          <w:szCs w:val="20"/>
        </w:rPr>
        <w:t xml:space="preserve"> </w:t>
      </w:r>
      <w:r>
        <w:rPr>
          <w:rFonts w:ascii="Arial" w:hAnsi="Arial" w:cs="Arial"/>
          <w:sz w:val="20"/>
          <w:szCs w:val="20"/>
        </w:rPr>
        <w:t>information of these nine symptomatic subjects</w:t>
      </w:r>
      <w:r>
        <w:rPr>
          <w:rFonts w:hint="eastAsia" w:ascii="Arial" w:hAnsi="Arial" w:cs="Arial"/>
          <w:sz w:val="20"/>
          <w:szCs w:val="20"/>
        </w:rPr>
        <w:t xml:space="preserve"> </w:t>
      </w:r>
      <w:r>
        <w:rPr>
          <w:rFonts w:ascii="Arial" w:hAnsi="Arial" w:cs="Arial"/>
          <w:sz w:val="20"/>
          <w:szCs w:val="20"/>
        </w:rPr>
        <w:t>(</w:t>
      </w:r>
      <w:r>
        <w:rPr>
          <w:rFonts w:hint="eastAsia" w:ascii="Arial" w:hAnsi="Arial" w:cs="Arial"/>
          <w:sz w:val="20"/>
          <w:szCs w:val="20"/>
        </w:rPr>
        <w:t xml:space="preserve">Patients </w:t>
      </w:r>
      <w:r>
        <w:rPr>
          <w:rFonts w:ascii="Arial" w:hAnsi="Arial" w:cs="Arial"/>
          <w:sz w:val="20"/>
          <w:szCs w:val="20"/>
        </w:rPr>
        <w:t xml:space="preserve">1, </w:t>
      </w:r>
      <w:r>
        <w:rPr>
          <w:rFonts w:hint="eastAsia" w:ascii="Arial" w:hAnsi="Arial" w:cs="Arial"/>
          <w:sz w:val="20"/>
          <w:szCs w:val="20"/>
        </w:rPr>
        <w:t>2</w:t>
      </w:r>
      <w:r>
        <w:rPr>
          <w:rFonts w:ascii="Arial" w:hAnsi="Arial" w:cs="Arial"/>
          <w:sz w:val="20"/>
          <w:szCs w:val="20"/>
        </w:rPr>
        <w:t xml:space="preserve">, </w:t>
      </w:r>
      <w:r>
        <w:rPr>
          <w:rFonts w:hint="eastAsia" w:ascii="Arial" w:hAnsi="Arial" w:cs="Arial"/>
          <w:sz w:val="20"/>
          <w:szCs w:val="20"/>
        </w:rPr>
        <w:t>3</w:t>
      </w:r>
      <w:r>
        <w:rPr>
          <w:rFonts w:ascii="Arial" w:hAnsi="Arial" w:cs="Arial"/>
          <w:sz w:val="20"/>
          <w:szCs w:val="20"/>
        </w:rPr>
        <w:t xml:space="preserve">, </w:t>
      </w:r>
      <w:r>
        <w:rPr>
          <w:rFonts w:hint="eastAsia" w:ascii="Arial" w:hAnsi="Arial" w:cs="Arial"/>
          <w:sz w:val="20"/>
          <w:szCs w:val="20"/>
        </w:rPr>
        <w:t>4</w:t>
      </w:r>
      <w:r>
        <w:rPr>
          <w:rFonts w:ascii="Arial" w:hAnsi="Arial" w:cs="Arial"/>
          <w:sz w:val="20"/>
          <w:szCs w:val="20"/>
        </w:rPr>
        <w:t xml:space="preserve">, </w:t>
      </w:r>
      <w:r>
        <w:rPr>
          <w:rFonts w:hint="eastAsia" w:ascii="Arial" w:hAnsi="Arial" w:cs="Arial"/>
          <w:sz w:val="20"/>
          <w:szCs w:val="20"/>
        </w:rPr>
        <w:t>5</w:t>
      </w:r>
      <w:r>
        <w:rPr>
          <w:rFonts w:ascii="Arial" w:hAnsi="Arial" w:cs="Arial"/>
          <w:sz w:val="20"/>
          <w:szCs w:val="20"/>
        </w:rPr>
        <w:t xml:space="preserve">, </w:t>
      </w:r>
      <w:r>
        <w:rPr>
          <w:rFonts w:hint="eastAsia" w:ascii="Arial" w:hAnsi="Arial" w:cs="Arial"/>
          <w:sz w:val="20"/>
          <w:szCs w:val="20"/>
        </w:rPr>
        <w:t>6</w:t>
      </w:r>
      <w:r>
        <w:rPr>
          <w:rFonts w:ascii="Arial" w:hAnsi="Arial" w:cs="Arial"/>
          <w:sz w:val="20"/>
          <w:szCs w:val="20"/>
        </w:rPr>
        <w:t xml:space="preserve">, </w:t>
      </w:r>
      <w:r>
        <w:rPr>
          <w:rFonts w:hint="eastAsia" w:ascii="Arial" w:hAnsi="Arial" w:cs="Arial"/>
          <w:sz w:val="20"/>
          <w:szCs w:val="20"/>
        </w:rPr>
        <w:t>7</w:t>
      </w:r>
      <w:r>
        <w:rPr>
          <w:rFonts w:ascii="Arial" w:hAnsi="Arial" w:cs="Arial"/>
          <w:sz w:val="20"/>
          <w:szCs w:val="20"/>
        </w:rPr>
        <w:t xml:space="preserve">, </w:t>
      </w:r>
      <w:r>
        <w:rPr>
          <w:rFonts w:hint="eastAsia" w:ascii="Arial" w:hAnsi="Arial" w:cs="Arial"/>
          <w:sz w:val="20"/>
          <w:szCs w:val="20"/>
        </w:rPr>
        <w:t>8</w:t>
      </w:r>
      <w:r>
        <w:rPr>
          <w:rFonts w:ascii="Arial" w:hAnsi="Arial" w:cs="Arial"/>
          <w:sz w:val="20"/>
          <w:szCs w:val="20"/>
        </w:rPr>
        <w:t xml:space="preserve">, </w:t>
      </w:r>
      <w:r>
        <w:rPr>
          <w:rFonts w:hint="eastAsia" w:ascii="Arial" w:hAnsi="Arial" w:cs="Arial"/>
          <w:sz w:val="20"/>
          <w:szCs w:val="20"/>
        </w:rPr>
        <w:t>9</w:t>
      </w:r>
      <w:r>
        <w:rPr>
          <w:rFonts w:ascii="Arial" w:hAnsi="Arial" w:cs="Arial"/>
          <w:sz w:val="20"/>
          <w:szCs w:val="20"/>
        </w:rPr>
        <w:t>)</w:t>
      </w:r>
      <w:r>
        <w:rPr>
          <w:rFonts w:hint="eastAsia" w:ascii="Arial" w:hAnsi="Arial" w:cs="Arial"/>
          <w:sz w:val="20"/>
          <w:szCs w:val="20"/>
        </w:rPr>
        <w:t xml:space="preserve"> was shown in </w:t>
      </w:r>
      <w:r>
        <w:rPr>
          <w:rFonts w:ascii="Arial" w:hAnsi="Arial" w:cs="Arial"/>
          <w:sz w:val="20"/>
          <w:szCs w:val="20"/>
        </w:rPr>
        <w:t>Fig.</w:t>
      </w:r>
      <w:r>
        <w:rPr>
          <w:rFonts w:hint="eastAsia" w:ascii="Arial" w:hAnsi="Arial" w:cs="Arial"/>
          <w:sz w:val="20"/>
          <w:szCs w:val="20"/>
        </w:rPr>
        <w:t xml:space="preserve"> S7B. </w:t>
      </w:r>
      <w:r>
        <w:rPr>
          <w:rFonts w:ascii="Arial" w:hAnsi="Arial" w:cs="Arial"/>
          <w:sz w:val="20"/>
          <w:szCs w:val="20"/>
        </w:rPr>
        <w:t>For each symptomatic subject, t</w:t>
      </w:r>
      <w:r>
        <w:rPr>
          <w:rStyle w:val="10"/>
          <w:color w:val="auto"/>
        </w:rPr>
        <w:t xml:space="preserve">he gene expression profiles </w:t>
      </w:r>
      <w:r>
        <w:rPr>
          <w:rFonts w:ascii="Arial" w:hAnsi="Arial" w:eastAsia="宋体" w:cs="Arial"/>
          <w:sz w:val="20"/>
          <w:szCs w:val="20"/>
        </w:rPr>
        <w:t xml:space="preserve">of the initial </w:t>
      </w:r>
      <w:r>
        <w:rPr>
          <w:rFonts w:hint="eastAsia" w:ascii="Arial" w:hAnsi="Arial" w:eastAsia="宋体" w:cs="Arial"/>
          <w:sz w:val="20"/>
          <w:szCs w:val="20"/>
        </w:rPr>
        <w:t>5</w:t>
      </w:r>
      <w:r>
        <w:rPr>
          <w:rFonts w:ascii="Arial" w:hAnsi="Arial" w:eastAsia="宋体" w:cs="Arial"/>
          <w:sz w:val="20"/>
          <w:szCs w:val="20"/>
        </w:rPr>
        <w:t xml:space="preserve"> timepoints, i.e., </w:t>
      </w:r>
      <w:r>
        <w:rPr>
          <w:rStyle w:val="10"/>
          <w:color w:val="auto"/>
        </w:rPr>
        <w:t>-24 h, 0 h, 5 h</w:t>
      </w:r>
      <w:r>
        <w:rPr>
          <w:rStyle w:val="10"/>
          <w:rFonts w:hint="eastAsia" w:eastAsia="宋体"/>
          <w:color w:val="auto"/>
        </w:rPr>
        <w:t>,</w:t>
      </w:r>
      <w:r>
        <w:rPr>
          <w:rStyle w:val="10"/>
          <w:color w:val="auto"/>
        </w:rPr>
        <w:t>12 h</w:t>
      </w:r>
      <w:r>
        <w:rPr>
          <w:rStyle w:val="10"/>
          <w:rFonts w:hint="eastAsia" w:eastAsia="宋体"/>
          <w:color w:val="auto"/>
        </w:rPr>
        <w:t xml:space="preserve"> and 21h</w:t>
      </w:r>
      <w:r>
        <w:rPr>
          <w:rStyle w:val="10"/>
          <w:color w:val="auto"/>
        </w:rPr>
        <w:t>, were regarded as individual reference samples,</w:t>
      </w:r>
      <w:r>
        <w:rPr>
          <w:rStyle w:val="10"/>
          <w:rFonts w:hint="eastAsia" w:eastAsia="宋体"/>
          <w:color w:val="auto"/>
        </w:rPr>
        <w:t xml:space="preserve"> </w:t>
      </w:r>
      <w:r>
        <w:rPr>
          <w:rFonts w:ascii="Arial" w:hAnsi="Arial" w:cs="Arial"/>
          <w:color w:val="252525"/>
          <w:sz w:val="20"/>
          <w:szCs w:val="20"/>
        </w:rPr>
        <w:t xml:space="preserve">which represent the background of relatively healthy stage during the </w:t>
      </w:r>
      <w:r>
        <w:rPr>
          <w:rFonts w:ascii="Arial" w:hAnsi="Arial" w:eastAsia="MyriadPro-Light" w:cs="Arial"/>
          <w:sz w:val="20"/>
          <w:szCs w:val="20"/>
          <w:shd w:val="clear" w:color="auto" w:fill="FFFFFF"/>
        </w:rPr>
        <w:t>challenge</w:t>
      </w:r>
      <w:r>
        <w:rPr>
          <w:rFonts w:hint="eastAsia" w:ascii="Arial" w:hAnsi="Arial" w:eastAsia="宋体" w:cs="Arial"/>
          <w:color w:val="252525"/>
          <w:sz w:val="20"/>
          <w:szCs w:val="20"/>
        </w:rPr>
        <w:t>.</w:t>
      </w:r>
      <w:r>
        <w:rPr>
          <w:rFonts w:ascii="Arial" w:hAnsi="Arial" w:eastAsia="宋体" w:cs="Arial"/>
          <w:color w:val="252525"/>
          <w:sz w:val="20"/>
          <w:szCs w:val="20"/>
        </w:rPr>
        <w:t xml:space="preserve"> </w:t>
      </w:r>
      <w:r>
        <w:rPr>
          <w:rFonts w:hint="eastAsia" w:ascii="Arial" w:hAnsi="Arial" w:eastAsia="宋体" w:cs="Arial"/>
          <w:color w:val="252525"/>
          <w:sz w:val="20"/>
          <w:szCs w:val="20"/>
        </w:rPr>
        <w:t xml:space="preserve">To determine whether there was a signal for the increase of sKLD score, a threshold was </w:t>
      </w:r>
      <w:r>
        <w:rPr>
          <w:rFonts w:ascii="Arial" w:hAnsi="Arial" w:eastAsia="宋体" w:cs="Arial"/>
          <w:color w:val="252525"/>
          <w:sz w:val="20"/>
          <w:szCs w:val="20"/>
        </w:rPr>
        <w:t>generated</w:t>
      </w:r>
      <w:r>
        <w:rPr>
          <w:rFonts w:hint="eastAsia" w:ascii="Arial" w:hAnsi="Arial" w:eastAsia="宋体" w:cs="Arial"/>
          <w:color w:val="252525"/>
          <w:sz w:val="20"/>
          <w:szCs w:val="20"/>
        </w:rPr>
        <w:t xml:space="preserve"> based on </w:t>
      </w:r>
      <w:r>
        <w:rPr>
          <w:rFonts w:ascii="Arial" w:hAnsi="Arial" w:eastAsia="宋体" w:cs="Arial"/>
          <w:color w:val="252525"/>
          <w:sz w:val="20"/>
          <w:szCs w:val="20"/>
        </w:rPr>
        <w:t xml:space="preserve">the </w:t>
      </w:r>
      <w:r>
        <w:rPr>
          <w:rFonts w:hint="eastAsia" w:ascii="Arial" w:hAnsi="Arial" w:eastAsia="宋体" w:cs="Arial"/>
          <w:color w:val="252525"/>
          <w:sz w:val="20"/>
          <w:szCs w:val="20"/>
        </w:rPr>
        <w:t xml:space="preserve">ROC value. This computational technique was provided by the reference [23]. </w:t>
      </w:r>
      <w:r>
        <w:rPr>
          <w:rFonts w:ascii="Arial" w:hAnsi="Arial" w:cs="Arial"/>
          <w:sz w:val="20"/>
          <w:szCs w:val="20"/>
        </w:rPr>
        <w:t>By</w:t>
      </w:r>
      <w:r>
        <w:rPr>
          <w:rFonts w:hint="eastAsia" w:ascii="Arial" w:hAnsi="Arial" w:cs="Arial"/>
          <w:sz w:val="20"/>
          <w:szCs w:val="20"/>
        </w:rPr>
        <w:t xml:space="preserve"> </w:t>
      </w:r>
      <w:r>
        <w:rPr>
          <w:rFonts w:ascii="Arial" w:hAnsi="Arial" w:cs="Arial"/>
          <w:sz w:val="20"/>
          <w:szCs w:val="20"/>
        </w:rPr>
        <w:t xml:space="preserve">employing the proposed method, </w:t>
      </w:r>
      <w:r>
        <w:rPr>
          <w:rFonts w:hint="eastAsia" w:ascii="Arial" w:hAnsi="Arial" w:cs="Arial"/>
          <w:sz w:val="20"/>
          <w:szCs w:val="20"/>
        </w:rPr>
        <w:t>t</w:t>
      </w:r>
      <w:r>
        <w:rPr>
          <w:rFonts w:ascii="Arial" w:hAnsi="Arial" w:cs="Arial"/>
          <w:sz w:val="20"/>
          <w:szCs w:val="20"/>
        </w:rPr>
        <w:t>he individual-specific sKLD scores for 9 symptomatic subjects</w:t>
      </w:r>
      <w:r>
        <w:rPr>
          <w:rFonts w:hint="eastAsia" w:ascii="Arial" w:hAnsi="Arial" w:eastAsia="宋体" w:cs="Arial"/>
          <w:sz w:val="20"/>
          <w:szCs w:val="20"/>
        </w:rPr>
        <w:t xml:space="preserve"> were </w:t>
      </w:r>
      <w:r>
        <w:rPr>
          <w:rFonts w:hint="eastAsia" w:ascii="Arial" w:hAnsi="Arial" w:eastAsia="宋体" w:cs="Arial"/>
          <w:color w:val="252525"/>
          <w:sz w:val="20"/>
          <w:szCs w:val="20"/>
        </w:rPr>
        <w:t xml:space="preserve">shown in </w:t>
      </w:r>
      <w:r>
        <w:rPr>
          <w:rFonts w:ascii="Arial" w:hAnsi="Arial" w:cs="Arial"/>
          <w:sz w:val="20"/>
          <w:szCs w:val="20"/>
        </w:rPr>
        <w:t xml:space="preserve">Figure </w:t>
      </w:r>
      <w:r>
        <w:rPr>
          <w:rFonts w:hint="eastAsia" w:ascii="Arial" w:hAnsi="Arial" w:cs="Arial"/>
          <w:sz w:val="20"/>
          <w:szCs w:val="20"/>
        </w:rPr>
        <w:t xml:space="preserve">S7A. </w:t>
      </w:r>
      <w:r>
        <w:rPr>
          <w:rFonts w:ascii="Arial" w:hAnsi="Arial" w:cs="Arial"/>
          <w:sz w:val="20"/>
          <w:szCs w:val="20"/>
        </w:rPr>
        <w:t>For each sKLD curve, the blue star</w:t>
      </w:r>
      <w:r>
        <w:rPr>
          <w:rFonts w:hint="eastAsia" w:ascii="Arial" w:hAnsi="Arial" w:cs="Arial"/>
          <w:sz w:val="20"/>
          <w:szCs w:val="20"/>
        </w:rPr>
        <w:t xml:space="preserve"> </w:t>
      </w:r>
      <w:r>
        <w:rPr>
          <w:rFonts w:ascii="Arial" w:hAnsi="Arial" w:cs="Arial"/>
          <w:sz w:val="20"/>
          <w:szCs w:val="20"/>
        </w:rPr>
        <w:t>represent</w:t>
      </w:r>
      <w:r>
        <w:rPr>
          <w:rFonts w:hint="eastAsia" w:ascii="Arial" w:hAnsi="Arial" w:eastAsia="宋体" w:cs="Arial"/>
          <w:sz w:val="20"/>
          <w:szCs w:val="20"/>
        </w:rPr>
        <w:t>ed</w:t>
      </w:r>
      <w:r>
        <w:rPr>
          <w:rFonts w:ascii="Arial" w:hAnsi="Arial" w:cs="Arial"/>
          <w:sz w:val="20"/>
          <w:szCs w:val="20"/>
        </w:rPr>
        <w:t xml:space="preserve"> the time point when sKLD signal arose, </w:t>
      </w:r>
      <w:r>
        <w:rPr>
          <w:rFonts w:hint="eastAsia" w:ascii="Arial" w:hAnsi="Arial" w:cs="Arial"/>
          <w:sz w:val="20"/>
          <w:szCs w:val="20"/>
        </w:rPr>
        <w:t xml:space="preserve">while </w:t>
      </w:r>
      <w:r>
        <w:rPr>
          <w:rFonts w:ascii="Arial" w:hAnsi="Arial" w:cs="Arial"/>
          <w:sz w:val="20"/>
          <w:szCs w:val="20"/>
        </w:rPr>
        <w:t>the purple circle represent</w:t>
      </w:r>
      <w:r>
        <w:rPr>
          <w:rFonts w:hint="eastAsia" w:ascii="Arial" w:hAnsi="Arial" w:eastAsia="宋体" w:cs="Arial"/>
          <w:sz w:val="20"/>
          <w:szCs w:val="20"/>
        </w:rPr>
        <w:t>ed</w:t>
      </w:r>
      <w:r>
        <w:rPr>
          <w:rFonts w:ascii="Arial" w:hAnsi="Arial" w:cs="Arial"/>
          <w:sz w:val="20"/>
          <w:szCs w:val="20"/>
        </w:rPr>
        <w:t xml:space="preserve"> the time point at which the initial flu symptoms appear</w:t>
      </w:r>
      <w:r>
        <w:rPr>
          <w:rFonts w:hint="eastAsia" w:ascii="Arial" w:hAnsi="Arial" w:eastAsia="宋体" w:cs="Arial"/>
          <w:sz w:val="20"/>
          <w:szCs w:val="20"/>
        </w:rPr>
        <w:t>ed</w:t>
      </w:r>
      <w:r>
        <w:rPr>
          <w:rFonts w:ascii="Arial" w:hAnsi="Arial" w:cs="Arial"/>
          <w:sz w:val="20"/>
          <w:szCs w:val="20"/>
        </w:rPr>
        <w:t>.</w:t>
      </w:r>
      <w:r>
        <w:rPr>
          <w:rFonts w:hint="eastAsia" w:ascii="Arial" w:hAnsi="Arial" w:eastAsia="宋体" w:cs="Arial"/>
          <w:sz w:val="20"/>
          <w:szCs w:val="20"/>
        </w:rPr>
        <w:t xml:space="preserve"> The sKLD</w:t>
      </w:r>
      <w:r>
        <w:rPr>
          <w:rFonts w:ascii="Arial" w:hAnsi="Arial" w:eastAsia="宋体" w:cs="Arial"/>
          <w:sz w:val="20"/>
          <w:szCs w:val="20"/>
        </w:rPr>
        <w:t xml:space="preserve"> score indicate</w:t>
      </w:r>
      <w:r>
        <w:rPr>
          <w:rFonts w:hint="eastAsia" w:ascii="Arial" w:hAnsi="Arial" w:eastAsia="宋体" w:cs="Arial"/>
          <w:sz w:val="20"/>
          <w:szCs w:val="20"/>
        </w:rPr>
        <w:t>d</w:t>
      </w:r>
      <w:r>
        <w:rPr>
          <w:rFonts w:ascii="Arial" w:hAnsi="Arial" w:eastAsia="宋体" w:cs="Arial"/>
          <w:sz w:val="20"/>
          <w:szCs w:val="20"/>
        </w:rPr>
        <w:t xml:space="preserve"> </w:t>
      </w:r>
      <w:r>
        <w:rPr>
          <w:rFonts w:hint="eastAsia" w:ascii="Arial" w:hAnsi="Arial" w:eastAsia="宋体" w:cs="Arial"/>
          <w:sz w:val="20"/>
          <w:szCs w:val="20"/>
        </w:rPr>
        <w:t>the pre-disease states (the state before the</w:t>
      </w:r>
      <w:r>
        <w:rPr>
          <w:rFonts w:ascii="Arial" w:hAnsi="Arial" w:eastAsia="宋体" w:cs="Arial"/>
          <w:sz w:val="20"/>
          <w:szCs w:val="20"/>
        </w:rPr>
        <w:t xml:space="preserve"> appearance of flu infection symptoms</w:t>
      </w:r>
      <w:r>
        <w:rPr>
          <w:rFonts w:hint="eastAsia" w:ascii="Arial" w:hAnsi="Arial" w:eastAsia="宋体" w:cs="Arial"/>
          <w:sz w:val="20"/>
          <w:szCs w:val="20"/>
        </w:rPr>
        <w:t xml:space="preserve">) for these </w:t>
      </w:r>
      <w:r>
        <w:rPr>
          <w:rFonts w:ascii="Arial" w:hAnsi="Arial" w:eastAsia="宋体" w:cs="Arial"/>
          <w:sz w:val="20"/>
          <w:szCs w:val="20"/>
        </w:rPr>
        <w:t>nine</w:t>
      </w:r>
      <w:r>
        <w:rPr>
          <w:rFonts w:hint="eastAsia" w:ascii="Arial" w:hAnsi="Arial" w:eastAsia="宋体" w:cs="Arial"/>
          <w:sz w:val="20"/>
          <w:szCs w:val="20"/>
        </w:rPr>
        <w:t xml:space="preserve"> </w:t>
      </w:r>
      <w:r>
        <w:rPr>
          <w:rFonts w:ascii="Arial" w:hAnsi="Arial" w:cs="Arial"/>
          <w:sz w:val="20"/>
          <w:szCs w:val="20"/>
        </w:rPr>
        <w:t>symptomatic subjects</w:t>
      </w:r>
      <w:r>
        <w:rPr>
          <w:rFonts w:hint="eastAsia" w:ascii="Arial" w:hAnsi="Arial" w:eastAsia="宋体" w:cs="Arial"/>
          <w:sz w:val="20"/>
          <w:szCs w:val="20"/>
        </w:rPr>
        <w:t>, with 89% accuracy</w:t>
      </w:r>
      <w:r>
        <w:rPr>
          <w:rFonts w:ascii="Arial" w:hAnsi="Arial" w:eastAsia="宋体" w:cs="Arial"/>
          <w:sz w:val="20"/>
          <w:szCs w:val="20"/>
        </w:rPr>
        <w:t xml:space="preserve"> (eight successful detections and one failure)</w:t>
      </w:r>
      <w:r>
        <w:rPr>
          <w:rFonts w:hint="eastAsia" w:ascii="Arial" w:hAnsi="Arial" w:eastAsia="宋体" w:cs="Arial"/>
          <w:sz w:val="20"/>
          <w:szCs w:val="20"/>
        </w:rPr>
        <w:t>.</w:t>
      </w:r>
    </w:p>
    <w:p>
      <w:pPr>
        <w:spacing w:before="156" w:beforeLines="50" w:after="156" w:afterLines="50" w:line="360" w:lineRule="auto"/>
        <w:rPr>
          <w:rFonts w:ascii="Times New Roman" w:hAnsi="Times New Roman" w:cs="Times New Roman"/>
          <w:sz w:val="24"/>
        </w:rPr>
      </w:pPr>
      <w:r>
        <w:rPr>
          <w:rFonts w:hint="eastAsia" w:ascii="Times New Roman" w:hAnsi="Times New Roman" w:cs="Times New Roman"/>
          <w:sz w:val="24"/>
        </w:rPr>
        <w:drawing>
          <wp:inline distT="0" distB="0" distL="114300" distR="114300">
            <wp:extent cx="6198235" cy="3618865"/>
            <wp:effectExtent l="0" t="0" r="12065" b="635"/>
            <wp:docPr id="4" name="图片 4" descr="C:\Users\Miller\Desktop\QQ图片20191228133752.pngQQ图片2019122813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Miller\Desktop\QQ图片20191228133752.pngQQ图片20191228133752"/>
                    <pic:cNvPicPr>
                      <a:picLocks noChangeAspect="1"/>
                    </pic:cNvPicPr>
                  </pic:nvPicPr>
                  <pic:blipFill>
                    <a:blip r:embed="rId82"/>
                    <a:srcRect/>
                    <a:stretch>
                      <a:fillRect/>
                    </a:stretch>
                  </pic:blipFill>
                  <pic:spPr>
                    <a:xfrm>
                      <a:off x="0" y="0"/>
                      <a:ext cx="6198235" cy="3618865"/>
                    </a:xfrm>
                    <a:prstGeom prst="rect">
                      <a:avLst/>
                    </a:prstGeom>
                  </pic:spPr>
                </pic:pic>
              </a:graphicData>
            </a:graphic>
          </wp:inline>
        </w:drawing>
      </w:r>
    </w:p>
    <w:p>
      <w:pPr>
        <w:spacing w:before="156" w:beforeLines="50" w:after="156" w:afterLines="50" w:line="360" w:lineRule="auto"/>
        <w:rPr>
          <w:rFonts w:ascii="Arial" w:hAnsi="Arial" w:cs="Arial"/>
          <w:sz w:val="18"/>
          <w:szCs w:val="18"/>
        </w:rPr>
      </w:pPr>
      <w:r>
        <w:rPr>
          <w:rFonts w:ascii="Arial" w:hAnsi="Arial" w:cs="Arial"/>
          <w:sz w:val="18"/>
          <w:szCs w:val="18"/>
        </w:rPr>
        <w:t>Figure</w:t>
      </w:r>
      <w:r>
        <w:rPr>
          <w:rFonts w:hint="eastAsia" w:ascii="Arial" w:hAnsi="Arial" w:cs="Arial"/>
          <w:sz w:val="18"/>
          <w:szCs w:val="18"/>
        </w:rPr>
        <w:t xml:space="preserve"> S7</w:t>
      </w:r>
      <w:r>
        <w:rPr>
          <w:rFonts w:ascii="Arial" w:hAnsi="Arial" w:cs="Arial"/>
          <w:sz w:val="18"/>
          <w:szCs w:val="18"/>
        </w:rPr>
        <w:t xml:space="preserve">: The application of </w:t>
      </w:r>
      <w:r>
        <w:rPr>
          <w:rFonts w:hint="eastAsia" w:ascii="Arial" w:hAnsi="Arial" w:cs="Arial"/>
          <w:sz w:val="18"/>
          <w:szCs w:val="18"/>
        </w:rPr>
        <w:t>sKLD</w:t>
      </w:r>
      <w:r>
        <w:rPr>
          <w:rFonts w:ascii="Arial" w:hAnsi="Arial" w:cs="Arial"/>
          <w:sz w:val="18"/>
          <w:szCs w:val="18"/>
        </w:rPr>
        <w:t xml:space="preserve"> in influenza infection dataset. (</w:t>
      </w:r>
      <w:r>
        <w:rPr>
          <w:rFonts w:hint="eastAsia" w:ascii="Arial" w:hAnsi="Arial" w:cs="Arial"/>
          <w:sz w:val="18"/>
          <w:szCs w:val="18"/>
        </w:rPr>
        <w:t>A</w:t>
      </w:r>
      <w:r>
        <w:rPr>
          <w:rFonts w:ascii="Arial" w:hAnsi="Arial" w:cs="Arial"/>
          <w:sz w:val="18"/>
          <w:szCs w:val="18"/>
        </w:rPr>
        <w:t>)</w:t>
      </w:r>
      <w:r>
        <w:rPr>
          <w:rFonts w:hint="eastAsia" w:ascii="Arial" w:hAnsi="Arial" w:cs="Arial"/>
          <w:sz w:val="18"/>
          <w:szCs w:val="18"/>
        </w:rPr>
        <w:t xml:space="preserve"> </w:t>
      </w:r>
      <w:r>
        <w:rPr>
          <w:rFonts w:ascii="Arial" w:hAnsi="Arial" w:cs="Arial"/>
          <w:sz w:val="18"/>
          <w:szCs w:val="18"/>
        </w:rPr>
        <w:t>The individual-specific sKLD scores for 9 symptomatic subjects. For each sKLD curve, the blue star</w:t>
      </w:r>
      <w:r>
        <w:rPr>
          <w:rFonts w:hint="eastAsia" w:ascii="Arial" w:hAnsi="Arial" w:cs="Arial"/>
          <w:sz w:val="18"/>
          <w:szCs w:val="18"/>
        </w:rPr>
        <w:t xml:space="preserve"> </w:t>
      </w:r>
      <w:r>
        <w:rPr>
          <w:rFonts w:ascii="Arial" w:hAnsi="Arial" w:cs="Arial"/>
          <w:sz w:val="18"/>
          <w:szCs w:val="18"/>
        </w:rPr>
        <w:t xml:space="preserve">represents the time point when sKLD signal arises, </w:t>
      </w:r>
      <w:r>
        <w:rPr>
          <w:rFonts w:hint="eastAsia" w:ascii="Arial" w:hAnsi="Arial" w:cs="Arial"/>
          <w:sz w:val="18"/>
          <w:szCs w:val="18"/>
        </w:rPr>
        <w:t xml:space="preserve">while </w:t>
      </w:r>
      <w:r>
        <w:rPr>
          <w:rFonts w:ascii="Arial" w:hAnsi="Arial" w:cs="Arial"/>
          <w:sz w:val="18"/>
          <w:szCs w:val="18"/>
        </w:rPr>
        <w:t xml:space="preserve">the purple circle represents the time point at which the initial flu symptoms appears. (B) The information of 9 symptomatic subjects in the influenza-infection challenge. </w:t>
      </w:r>
    </w:p>
    <w:p>
      <w:pPr>
        <w:spacing w:before="156" w:beforeLines="50" w:after="156" w:afterLines="50" w:line="360" w:lineRule="auto"/>
        <w:rPr>
          <w:rFonts w:ascii="Arial" w:hAnsi="Arial" w:cs="Arial"/>
          <w:sz w:val="18"/>
          <w:szCs w:val="18"/>
        </w:rPr>
      </w:pPr>
    </w:p>
    <w:p>
      <w:pPr>
        <w:spacing w:before="156" w:beforeLines="50" w:after="156" w:afterLines="50" w:line="360" w:lineRule="auto"/>
        <w:rPr>
          <w:rFonts w:ascii="Arial" w:hAnsi="Arial" w:cs="Arial"/>
          <w:sz w:val="18"/>
          <w:szCs w:val="18"/>
        </w:rPr>
      </w:pPr>
    </w:p>
    <w:p>
      <w:pPr>
        <w:spacing w:before="156" w:beforeLines="50" w:after="156" w:afterLines="50" w:line="360" w:lineRule="auto"/>
        <w:rPr>
          <w:rFonts w:ascii="Arial" w:hAnsi="Arial" w:cs="Arial"/>
          <w:sz w:val="18"/>
          <w:szCs w:val="18"/>
        </w:rPr>
      </w:pPr>
    </w:p>
    <w:p>
      <w:pPr>
        <w:spacing w:before="156" w:beforeLines="50" w:after="156" w:afterLines="50" w:line="360" w:lineRule="auto"/>
        <w:rPr>
          <w:rFonts w:ascii="Arial" w:hAnsi="Arial" w:cs="Arial"/>
          <w:sz w:val="18"/>
          <w:szCs w:val="18"/>
        </w:rPr>
      </w:pPr>
    </w:p>
    <w:p>
      <w:pPr>
        <w:spacing w:before="156" w:beforeLines="50" w:after="156" w:afterLines="50" w:line="360" w:lineRule="auto"/>
        <w:rPr>
          <w:rFonts w:ascii="Arial" w:hAnsi="Arial" w:cs="Arial"/>
          <w:sz w:val="18"/>
          <w:szCs w:val="18"/>
        </w:rPr>
      </w:pPr>
    </w:p>
    <w:p>
      <w:pPr>
        <w:spacing w:before="156" w:beforeLines="50" w:after="156" w:afterLines="50" w:line="360" w:lineRule="auto"/>
        <w:rPr>
          <w:rFonts w:ascii="Arial" w:hAnsi="Arial" w:cs="Arial"/>
          <w:sz w:val="18"/>
          <w:szCs w:val="18"/>
        </w:rPr>
      </w:pPr>
    </w:p>
    <w:p>
      <w:pPr>
        <w:spacing w:before="156" w:beforeLines="50" w:after="156" w:afterLines="50" w:line="360" w:lineRule="auto"/>
        <w:rPr>
          <w:rFonts w:ascii="Arial" w:hAnsi="Arial" w:cs="Arial"/>
          <w:sz w:val="18"/>
          <w:szCs w:val="18"/>
        </w:rPr>
      </w:pPr>
    </w:p>
    <w:p>
      <w:pPr>
        <w:spacing w:before="156" w:beforeLines="50" w:after="156" w:afterLines="50" w:line="360" w:lineRule="auto"/>
        <w:rPr>
          <w:rFonts w:ascii="Arial" w:hAnsi="Arial" w:cs="Arial"/>
          <w:sz w:val="18"/>
          <w:szCs w:val="18"/>
        </w:rPr>
      </w:pPr>
    </w:p>
    <w:p>
      <w:pPr>
        <w:spacing w:before="156" w:beforeLines="50" w:after="156" w:afterLines="50" w:line="360" w:lineRule="auto"/>
        <w:rPr>
          <w:rFonts w:ascii="Arial" w:hAnsi="Arial" w:cs="Arial"/>
          <w:sz w:val="18"/>
          <w:szCs w:val="18"/>
        </w:rPr>
      </w:pPr>
    </w:p>
    <w:p>
      <w:pPr>
        <w:spacing w:before="156" w:beforeLines="50" w:after="156" w:afterLines="50"/>
        <w:rPr>
          <w:rFonts w:ascii="Times New Roman" w:hAnsi="Times New Roman" w:cs="Times New Roman"/>
          <w:sz w:val="24"/>
        </w:rPr>
      </w:pPr>
      <w:r>
        <w:rPr>
          <w:rStyle w:val="11"/>
          <w:rFonts w:ascii="Arial" w:hAnsi="Arial" w:cs="Arial"/>
          <w:b/>
          <w:bCs/>
          <w:sz w:val="24"/>
        </w:rPr>
        <w:t>References</w:t>
      </w:r>
    </w:p>
    <w:p>
      <w:pPr>
        <w:spacing w:before="156" w:beforeLines="50" w:after="156" w:afterLines="50"/>
        <w:rPr>
          <w:rFonts w:ascii="Arial" w:hAnsi="Arial" w:cs="Arial"/>
          <w:sz w:val="16"/>
          <w:szCs w:val="16"/>
        </w:rPr>
      </w:pPr>
      <w:r>
        <w:rPr>
          <w:rFonts w:ascii="Arial" w:hAnsi="Arial" w:cs="Arial"/>
          <w:sz w:val="16"/>
          <w:szCs w:val="16"/>
        </w:rPr>
        <w:t>1. Chen, L., Wang, R., Li, C. &amp; Aihara, K. Modeling Biomolecular Networks in Cells: Structures and Dynamics, (Springer, New York, 2010).</w:t>
      </w:r>
    </w:p>
    <w:p>
      <w:pPr>
        <w:spacing w:before="156" w:beforeLines="50" w:after="156" w:afterLines="50"/>
        <w:rPr>
          <w:rFonts w:ascii="Arial" w:hAnsi="Arial" w:cs="Arial"/>
          <w:sz w:val="16"/>
          <w:szCs w:val="16"/>
        </w:rPr>
      </w:pPr>
      <w:r>
        <w:rPr>
          <w:rFonts w:ascii="Arial" w:hAnsi="Arial" w:cs="Arial"/>
          <w:sz w:val="16"/>
          <w:szCs w:val="16"/>
        </w:rPr>
        <w:t>2. Chen, L., Wang, R. &amp; Zhang, X. Biomolecular Networks: Methods and Applications in Systems Biology, (John Wiley &amp; Sons, Hoboken, New Jersey,2009).</w:t>
      </w:r>
    </w:p>
    <w:p>
      <w:pPr>
        <w:spacing w:before="156" w:beforeLines="50" w:after="156" w:afterLines="50"/>
        <w:rPr>
          <w:rFonts w:ascii="Arial" w:hAnsi="Arial" w:cs="Arial"/>
          <w:sz w:val="16"/>
          <w:szCs w:val="16"/>
        </w:rPr>
      </w:pPr>
      <w:r>
        <w:rPr>
          <w:rFonts w:ascii="Arial" w:hAnsi="Arial" w:cs="Arial"/>
          <w:sz w:val="16"/>
          <w:szCs w:val="16"/>
        </w:rPr>
        <w:t>3. Becskei, A. &amp; Serrano, L. Engineering stability in gene networks by autoregulation, Nature 405, 590–593(2000).</w:t>
      </w:r>
    </w:p>
    <w:p>
      <w:pPr>
        <w:numPr>
          <w:ilvl w:val="0"/>
          <w:numId w:val="2"/>
        </w:numPr>
        <w:spacing w:before="156" w:beforeLines="50" w:after="156" w:afterLines="50"/>
        <w:rPr>
          <w:rFonts w:ascii="Arial" w:hAnsi="Arial" w:cs="Arial"/>
          <w:sz w:val="16"/>
          <w:szCs w:val="16"/>
        </w:rPr>
      </w:pPr>
      <w:r>
        <w:rPr>
          <w:rFonts w:ascii="Arial" w:hAnsi="Arial" w:cs="Arial"/>
          <w:sz w:val="16"/>
          <w:szCs w:val="16"/>
        </w:rPr>
        <w:t>Chen, L. &amp; Aihara, K. Stability of genetic regulatory networks with time delay, IEEE Trans. Circuits Syst. I 49, 602–608(2002).</w:t>
      </w:r>
    </w:p>
    <w:p>
      <w:pPr>
        <w:numPr>
          <w:ilvl w:val="0"/>
          <w:numId w:val="2"/>
        </w:numPr>
        <w:spacing w:before="156" w:beforeLines="50" w:after="156" w:afterLines="50"/>
        <w:rPr>
          <w:rFonts w:ascii="Arial" w:hAnsi="Arial" w:cs="Arial"/>
          <w:sz w:val="16"/>
          <w:szCs w:val="16"/>
        </w:rPr>
      </w:pPr>
      <w:r>
        <w:rPr>
          <w:rFonts w:ascii="Arial" w:hAnsi="Arial" w:cs="Arial"/>
          <w:sz w:val="16"/>
          <w:szCs w:val="16"/>
        </w:rPr>
        <w:t>Li, C., Chen, L. &amp; Aihara, K. Stability of genetic networks with SUM regulatory logic: Lur’e system and LMI approach, IEEE Trans. Circuits Syst. I 53,2451–2458(2006).</w:t>
      </w:r>
    </w:p>
    <w:p>
      <w:pPr>
        <w:numPr>
          <w:ilvl w:val="0"/>
          <w:numId w:val="2"/>
        </w:numPr>
        <w:spacing w:before="156" w:beforeLines="50" w:after="156" w:afterLines="50"/>
        <w:rPr>
          <w:rFonts w:ascii="Arial" w:hAnsi="Arial" w:cs="Arial"/>
          <w:sz w:val="16"/>
          <w:szCs w:val="16"/>
        </w:rPr>
      </w:pPr>
      <w:r>
        <w:rPr>
          <w:rFonts w:ascii="Arial" w:hAnsi="Arial" w:cs="Arial"/>
          <w:sz w:val="16"/>
          <w:szCs w:val="16"/>
        </w:rPr>
        <w:t>Kloeden, P. &amp; Platen, E. Numerical Solution of Stochastic Differential Equations, (Springer, 1999)</w:t>
      </w:r>
    </w:p>
    <w:p>
      <w:pPr>
        <w:numPr>
          <w:ilvl w:val="0"/>
          <w:numId w:val="2"/>
        </w:numPr>
        <w:spacing w:before="156" w:beforeLines="50" w:after="156" w:afterLines="50"/>
        <w:rPr>
          <w:rFonts w:ascii="Arial" w:hAnsi="Arial" w:eastAsia="宋体" w:cs="Arial"/>
          <w:sz w:val="16"/>
          <w:szCs w:val="16"/>
        </w:rPr>
      </w:pPr>
      <w:r>
        <w:rPr>
          <w:rFonts w:ascii="Arial" w:hAnsi="Arial" w:eastAsia="宋体" w:cs="Arial"/>
          <w:sz w:val="16"/>
          <w:szCs w:val="16"/>
        </w:rPr>
        <w:t>O Donovan N, Fischer A, Abdo E M, Simon F, Peter H J, Gerber, H, et al. Differential expression of IgG Fc binding protein (FcgammaBP) in human normal thyroid tissue, thyroid adenomas and thyroid carcinomas. Journal of endocrinology. 2002; 174(3): 517-524. doi: 10.1677/joe.0.1740517</w:t>
      </w:r>
    </w:p>
    <w:p>
      <w:pPr>
        <w:numPr>
          <w:ilvl w:val="0"/>
          <w:numId w:val="2"/>
        </w:numPr>
        <w:spacing w:before="156" w:beforeLines="50" w:after="156" w:afterLines="50"/>
        <w:rPr>
          <w:rFonts w:ascii="Arial" w:hAnsi="Arial" w:eastAsia="宋体" w:cs="Arial"/>
          <w:sz w:val="16"/>
          <w:szCs w:val="16"/>
        </w:rPr>
      </w:pPr>
      <w:r>
        <w:rPr>
          <w:rFonts w:ascii="Arial" w:hAnsi="Arial" w:eastAsia="宋体" w:cs="Arial"/>
          <w:sz w:val="16"/>
          <w:szCs w:val="16"/>
        </w:rPr>
        <w:t xml:space="preserve">Zhao H, Li J, Li X, Han C, Zhang Y, Zheng L, et al. Silencing GPX3 expression promotes tumor metastasis in human thyroid cancer. Current Protein and Peptide Science. 2015; 16(4): 316-321. doi: 10.2174/138920371604150429154840 </w:t>
      </w:r>
    </w:p>
    <w:p>
      <w:pPr>
        <w:numPr>
          <w:ilvl w:val="0"/>
          <w:numId w:val="2"/>
        </w:numPr>
        <w:spacing w:before="156" w:beforeLines="50" w:after="156" w:afterLines="50"/>
        <w:rPr>
          <w:rFonts w:ascii="Arial" w:hAnsi="Arial" w:eastAsia="宋体" w:cs="Arial"/>
          <w:sz w:val="16"/>
          <w:szCs w:val="16"/>
        </w:rPr>
      </w:pPr>
      <w:r>
        <w:rPr>
          <w:rFonts w:ascii="Arial" w:hAnsi="Arial" w:eastAsia="宋体" w:cs="Arial"/>
          <w:sz w:val="16"/>
          <w:szCs w:val="16"/>
        </w:rPr>
        <w:t xml:space="preserve">Jin Y, Jin W, Zheng Z, Chen E, Wang Q, Wang Y, et al. GABRB2 plays an important role in the lymph node metastasis of papillary thyroid cancer. Biochemical and biophysical research communications. 2017; 492(3): 323-330. doi: 10.1016/j.bbrc.2017.08.114 </w:t>
      </w:r>
    </w:p>
    <w:p>
      <w:pPr>
        <w:numPr>
          <w:ilvl w:val="0"/>
          <w:numId w:val="2"/>
        </w:numPr>
        <w:spacing w:before="156" w:beforeLines="50" w:after="156" w:afterLines="50"/>
        <w:rPr>
          <w:rFonts w:ascii="Arial" w:hAnsi="Arial" w:eastAsia="宋体" w:cs="Arial"/>
          <w:sz w:val="16"/>
          <w:szCs w:val="16"/>
        </w:rPr>
      </w:pPr>
      <w:r>
        <w:rPr>
          <w:rFonts w:ascii="Arial" w:hAnsi="Arial" w:eastAsia="宋体" w:cs="Arial"/>
          <w:sz w:val="16"/>
          <w:szCs w:val="16"/>
        </w:rPr>
        <w:t xml:space="preserve">Liu L, Wang J, Li X, Ma J, Shi C, Zhu H, et al. MiR-204-5p suppresses cell proliferation by inhibiting IGFBP5 in papillary thyroid carcinoma. Biochemical and biophysical research communications. 2015; 457(4): 621-626. doi: 10.1016/j.bbrc.2015.01.037 </w:t>
      </w:r>
    </w:p>
    <w:p>
      <w:pPr>
        <w:numPr>
          <w:ilvl w:val="0"/>
          <w:numId w:val="2"/>
        </w:numPr>
        <w:spacing w:before="156" w:beforeLines="50" w:after="156" w:afterLines="50"/>
        <w:rPr>
          <w:rFonts w:ascii="Arial" w:hAnsi="Arial" w:eastAsia="宋体" w:cs="Arial"/>
          <w:sz w:val="16"/>
          <w:szCs w:val="16"/>
        </w:rPr>
      </w:pPr>
      <w:r>
        <w:rPr>
          <w:rFonts w:ascii="Arial" w:hAnsi="Arial" w:eastAsia="宋体" w:cs="Arial"/>
          <w:sz w:val="16"/>
          <w:szCs w:val="16"/>
        </w:rPr>
        <w:t xml:space="preserve">Anania M C, Sensi M, Radaelli E, Miranda C, Vizioli M G, Pagliardini S, et al. TIMP3 regulates migration, invasion and in vivo tumorigenicity of thyroid tumor cells. Oncogene. 2011; 30(27): 3011-3023. doi: 10.1038/onc.2011.18 </w:t>
      </w:r>
    </w:p>
    <w:p>
      <w:pPr>
        <w:numPr>
          <w:ilvl w:val="0"/>
          <w:numId w:val="2"/>
        </w:numPr>
        <w:spacing w:before="156" w:beforeLines="50" w:after="156" w:afterLines="50"/>
        <w:rPr>
          <w:rFonts w:ascii="Arial" w:hAnsi="Arial" w:eastAsia="宋体" w:cs="Arial"/>
          <w:sz w:val="16"/>
          <w:szCs w:val="16"/>
        </w:rPr>
      </w:pPr>
      <w:r>
        <w:rPr>
          <w:rFonts w:ascii="Arial" w:hAnsi="Arial" w:eastAsia="宋体" w:cs="Arial"/>
          <w:sz w:val="16"/>
          <w:szCs w:val="16"/>
        </w:rPr>
        <w:t>Ye D, Jiang Y, Sun Y, Li Y, Cai Y, Wang Q, et al. METTL7B promotes migration and invasion in thyroid cancer through epithelial-mesenchymal transition. Journal of molecular endocrinology. 2019; 63(1): 51-61. doi: 10.1530/JME-18-0261</w:t>
      </w:r>
    </w:p>
    <w:p>
      <w:pPr>
        <w:numPr>
          <w:ilvl w:val="0"/>
          <w:numId w:val="2"/>
        </w:numPr>
        <w:spacing w:before="156" w:beforeLines="50" w:after="156" w:afterLines="50"/>
        <w:rPr>
          <w:rFonts w:ascii="Arial" w:hAnsi="Arial" w:eastAsia="宋体" w:cs="Arial"/>
          <w:sz w:val="16"/>
          <w:szCs w:val="16"/>
        </w:rPr>
      </w:pPr>
      <w:r>
        <w:rPr>
          <w:rFonts w:ascii="Arial" w:hAnsi="Arial" w:eastAsia="宋体" w:cs="Arial"/>
          <w:sz w:val="16"/>
          <w:szCs w:val="16"/>
        </w:rPr>
        <w:t>Li J H, Zhang S Q, Qiu X G, Zhang S J, Zheng S H, Zhang D H. Long non-coding RNA NEAT1 promotes malignant progression of thyroid carcinoma by regulating miRNA-214. International journal of oncology. 2017; 50(2): 708-716. doi: 10.3892/etm.2018.6493</w:t>
      </w:r>
    </w:p>
    <w:p>
      <w:pPr>
        <w:numPr>
          <w:ilvl w:val="0"/>
          <w:numId w:val="2"/>
        </w:numPr>
        <w:spacing w:before="156" w:beforeLines="50" w:after="156" w:afterLines="50"/>
        <w:rPr>
          <w:rFonts w:ascii="Arial" w:hAnsi="Arial" w:cs="Arial"/>
          <w:sz w:val="16"/>
          <w:szCs w:val="16"/>
        </w:rPr>
      </w:pPr>
      <w:r>
        <w:rPr>
          <w:rFonts w:ascii="Arial" w:hAnsi="Arial" w:eastAsia="宋体" w:cs="Arial"/>
          <w:sz w:val="16"/>
          <w:szCs w:val="16"/>
        </w:rPr>
        <w:t>Lindquist D, Alsina F C, Herdenberg C, Larsson C, Höppener J, Wang N, et al. LRIG1 negatively regulates RET mutants and is downregulated in thyroid cancer. International journal of oncology. 2018; 52(4), 1189-1197.</w:t>
      </w:r>
    </w:p>
    <w:p>
      <w:pPr>
        <w:numPr>
          <w:ilvl w:val="0"/>
          <w:numId w:val="2"/>
        </w:numPr>
        <w:spacing w:before="156" w:beforeLines="50" w:after="156" w:afterLines="50"/>
        <w:rPr>
          <w:rFonts w:ascii="Arial" w:hAnsi="Arial" w:eastAsia="宋体" w:cs="Arial"/>
          <w:sz w:val="16"/>
          <w:szCs w:val="16"/>
        </w:rPr>
      </w:pPr>
      <w:r>
        <w:rPr>
          <w:rFonts w:ascii="Arial" w:hAnsi="Arial" w:eastAsia="宋体" w:cs="Arial"/>
          <w:sz w:val="16"/>
          <w:szCs w:val="16"/>
        </w:rPr>
        <w:t xml:space="preserve">Shang Y, Chai N, Gu Y, Ding L, Yang Y, Zhou J, et al. Systematic immunohistochemical analysis of the expression of CD46, CD55, and CD59 in colon cancer. Archives of Pathology and Laboratory Medicine. 2014; 138(7): 910-919. doi: 10.5858/arpa.2013-0064-OA </w:t>
      </w:r>
    </w:p>
    <w:p>
      <w:pPr>
        <w:numPr>
          <w:ilvl w:val="0"/>
          <w:numId w:val="2"/>
        </w:numPr>
        <w:spacing w:before="156" w:beforeLines="50" w:after="156" w:afterLines="50"/>
        <w:rPr>
          <w:rFonts w:ascii="Arial" w:hAnsi="Arial" w:eastAsia="宋体" w:cs="Arial"/>
          <w:sz w:val="16"/>
          <w:szCs w:val="16"/>
        </w:rPr>
      </w:pPr>
      <w:r>
        <w:rPr>
          <w:rFonts w:ascii="Arial" w:hAnsi="Arial" w:eastAsia="宋体" w:cs="Arial"/>
          <w:sz w:val="16"/>
          <w:szCs w:val="16"/>
        </w:rPr>
        <w:t>Li Z, Lin S, Jiang T, Wang J, Lu H, Tang H,et al. Overexpression of eIF3e is correlated with colon tumor development and poor prognosis. International journal of clinical and experimental pathology. 2014; 7(10): 6462 - 6474.</w:t>
      </w:r>
    </w:p>
    <w:p>
      <w:pPr>
        <w:numPr>
          <w:ilvl w:val="0"/>
          <w:numId w:val="2"/>
        </w:numPr>
        <w:spacing w:before="156" w:beforeLines="50" w:after="156" w:afterLines="50"/>
        <w:rPr>
          <w:rFonts w:ascii="Arial" w:hAnsi="Arial" w:eastAsia="宋体" w:cs="Arial"/>
          <w:sz w:val="16"/>
          <w:szCs w:val="16"/>
        </w:rPr>
      </w:pPr>
      <w:r>
        <w:rPr>
          <w:rFonts w:ascii="Arial" w:hAnsi="Arial" w:eastAsia="宋体" w:cs="Arial"/>
          <w:sz w:val="16"/>
          <w:szCs w:val="16"/>
        </w:rPr>
        <w:t xml:space="preserve">Baik I H, Jo G H, Seo D, Ko M J, Cho C H, Lee M G, et al. Knockdown of RPL9 expression inhibits colorectal carcinoma growth via the inactivation of Id-1/NF-κB signaling axis. International journal of oncology. 2016; 49(5): 1953-1962.  doi: 10.3892/ijo.2016.3688 </w:t>
      </w:r>
    </w:p>
    <w:p>
      <w:pPr>
        <w:numPr>
          <w:ilvl w:val="0"/>
          <w:numId w:val="2"/>
        </w:numPr>
        <w:spacing w:before="156" w:beforeLines="50" w:after="156" w:afterLines="50"/>
        <w:rPr>
          <w:rFonts w:ascii="Arial" w:hAnsi="Arial" w:eastAsia="宋体" w:cs="Arial"/>
          <w:sz w:val="16"/>
          <w:szCs w:val="16"/>
        </w:rPr>
      </w:pPr>
      <w:r>
        <w:rPr>
          <w:rFonts w:ascii="Arial" w:hAnsi="Arial" w:eastAsia="宋体" w:cs="Arial"/>
          <w:sz w:val="16"/>
          <w:szCs w:val="16"/>
        </w:rPr>
        <w:t xml:space="preserve">Moriwaka Y, Luo Y, Ohmori H, Fujii K, Tatsumoto N, Sasahira T, et al. HMGB1 attenuates anti-metastatic defense of the lymph nodes in colorectal cancer. Pathobiology. 2012; 77(1), 17-23. doi: 10.1159/000272950 </w:t>
      </w:r>
    </w:p>
    <w:p>
      <w:pPr>
        <w:numPr>
          <w:ilvl w:val="0"/>
          <w:numId w:val="2"/>
        </w:numPr>
        <w:spacing w:before="156" w:beforeLines="50" w:after="156" w:afterLines="50"/>
        <w:rPr>
          <w:rFonts w:ascii="Arial" w:hAnsi="Arial" w:eastAsia="宋体" w:cs="Arial"/>
          <w:sz w:val="16"/>
          <w:szCs w:val="16"/>
        </w:rPr>
      </w:pPr>
      <w:r>
        <w:rPr>
          <w:rFonts w:ascii="Arial" w:hAnsi="Arial" w:eastAsia="宋体" w:cs="Arial"/>
          <w:sz w:val="16"/>
          <w:szCs w:val="16"/>
        </w:rPr>
        <w:t>Tang J, Zhang L, She X, Zhou G, Yu F, Xiang J, et al. Inhibiting CD164 expression in colon cancer cell line HCT116 leads to reduced cancer cell proliferation, mobility, and metastasis in vitro and in vivo. Cancer investigation. 2012; 30(5): 380-389. doi: 10.3109/07357907.2012.666692</w:t>
      </w:r>
    </w:p>
    <w:p>
      <w:pPr>
        <w:numPr>
          <w:ilvl w:val="0"/>
          <w:numId w:val="2"/>
        </w:numPr>
        <w:spacing w:before="156" w:beforeLines="50" w:after="156" w:afterLines="50"/>
        <w:rPr>
          <w:rFonts w:ascii="Arial" w:hAnsi="Arial" w:eastAsia="宋体" w:cs="Arial"/>
          <w:sz w:val="16"/>
          <w:szCs w:val="16"/>
        </w:rPr>
      </w:pPr>
      <w:r>
        <w:rPr>
          <w:rFonts w:ascii="Arial" w:hAnsi="Arial" w:eastAsia="宋体" w:cs="Arial"/>
          <w:sz w:val="16"/>
          <w:szCs w:val="16"/>
        </w:rPr>
        <w:t xml:space="preserve">Lugli A, Iezzi G, Hostettler I, Muraro M G, Mele V, Tornillo L, et al. Prognostic impact of the expression of putative cancer stem cell markers CD133, CD166, CD44s, EpCAM, and ALDH1 in colorectal cancer. British journal of cancer. 2010; 103(3): 382 - 390. doi: 10.1038/sj.bjc.6605762 </w:t>
      </w:r>
    </w:p>
    <w:p>
      <w:pPr>
        <w:numPr>
          <w:ilvl w:val="0"/>
          <w:numId w:val="2"/>
        </w:numPr>
        <w:spacing w:before="156" w:beforeLines="50" w:after="156" w:afterLines="50"/>
        <w:rPr>
          <w:rFonts w:ascii="Arial" w:hAnsi="Arial" w:eastAsia="宋体" w:cs="Arial"/>
          <w:sz w:val="16"/>
          <w:szCs w:val="16"/>
        </w:rPr>
      </w:pPr>
      <w:r>
        <w:rPr>
          <w:rFonts w:ascii="Arial" w:hAnsi="Arial" w:eastAsia="宋体" w:cs="Arial"/>
          <w:sz w:val="16"/>
          <w:szCs w:val="16"/>
        </w:rPr>
        <w:t xml:space="preserve">Laudato S, Patil N, Abba M L, Leupold J H, Benner A, Gaiser T, et al. P53‐induced miR‐30e‐5p inhibits colorectal cancer invasion and metastasis by targeting ITGA6 and ITGB1. International journal of cancer. 2017; 141(9): 1879-1890. doi: 10.1002/ijc.30854 </w:t>
      </w:r>
    </w:p>
    <w:p>
      <w:pPr>
        <w:numPr>
          <w:ilvl w:val="0"/>
          <w:numId w:val="2"/>
        </w:numPr>
        <w:spacing w:before="156" w:beforeLines="50" w:after="156" w:afterLines="50"/>
        <w:rPr>
          <w:rFonts w:ascii="Arial" w:hAnsi="Arial" w:eastAsia="宋体" w:cs="Arial"/>
          <w:sz w:val="16"/>
          <w:szCs w:val="16"/>
        </w:rPr>
      </w:pPr>
      <w:r>
        <w:rPr>
          <w:rFonts w:ascii="Arial" w:hAnsi="Arial" w:eastAsia="宋体" w:cs="Arial"/>
          <w:sz w:val="16"/>
          <w:szCs w:val="16"/>
        </w:rPr>
        <w:t>Duan L, Wu R, Zou Z, Wang H, Ye L, Li H, et al. S100A6 stimulates proliferation and migration of colorectal carcinoma cells through activation of the MAPK pathways. International journal of oncology. 2014; 44(3): 781-790. doi: 10.3892/ijo.2013.2231</w:t>
      </w:r>
    </w:p>
    <w:p>
      <w:pPr>
        <w:spacing w:before="156" w:beforeLines="50" w:after="156" w:afterLines="50"/>
        <w:rPr>
          <w:rFonts w:ascii="Arial" w:hAnsi="Arial" w:cs="Arial"/>
          <w:sz w:val="20"/>
          <w:szCs w:val="20"/>
        </w:rPr>
      </w:pPr>
      <w:r>
        <w:rPr>
          <w:rFonts w:hint="eastAsia" w:ascii="Arial" w:hAnsi="Arial" w:eastAsia="等线" w:cs="Arial"/>
          <w:sz w:val="16"/>
          <w:szCs w:val="16"/>
        </w:rPr>
        <w:t xml:space="preserve">23. </w:t>
      </w:r>
      <w:r>
        <w:rPr>
          <w:rFonts w:ascii="Arial" w:hAnsi="Arial" w:eastAsia="等线" w:cs="Arial"/>
          <w:sz w:val="16"/>
          <w:szCs w:val="16"/>
        </w:rPr>
        <w:t>Yu, X., Zhang, J., Sun, S., et al.</w:t>
      </w:r>
      <w:r>
        <w:rPr>
          <w:rFonts w:hint="eastAsia" w:ascii="Arial" w:hAnsi="Arial" w:eastAsia="等线" w:cs="Arial"/>
          <w:sz w:val="16"/>
          <w:szCs w:val="16"/>
        </w:rPr>
        <w:t xml:space="preserve"> </w:t>
      </w:r>
      <w:r>
        <w:rPr>
          <w:rFonts w:ascii="Arial" w:hAnsi="Arial" w:eastAsia="等线" w:cs="Arial"/>
          <w:sz w:val="16"/>
          <w:szCs w:val="16"/>
        </w:rPr>
        <w:t>Individual-specific edge-network analysis for disease prediction. Nucleic acids research</w:t>
      </w:r>
      <w:r>
        <w:rPr>
          <w:rFonts w:hint="eastAsia" w:ascii="Arial" w:hAnsi="Arial" w:eastAsia="等线" w:cs="Arial"/>
          <w:sz w:val="16"/>
          <w:szCs w:val="16"/>
        </w:rPr>
        <w:t xml:space="preserve">. </w:t>
      </w:r>
      <w:r>
        <w:rPr>
          <w:rFonts w:ascii="Arial" w:hAnsi="Arial" w:eastAsia="等线" w:cs="Arial"/>
          <w:sz w:val="16"/>
          <w:szCs w:val="16"/>
        </w:rPr>
        <w:t>2017</w:t>
      </w:r>
      <w:r>
        <w:rPr>
          <w:rFonts w:hint="eastAsia" w:ascii="Arial" w:hAnsi="Arial" w:eastAsia="等线" w:cs="Arial"/>
          <w:sz w:val="16"/>
          <w:szCs w:val="16"/>
        </w:rPr>
        <w:t xml:space="preserve">; </w:t>
      </w:r>
      <w:r>
        <w:rPr>
          <w:rFonts w:ascii="Arial" w:hAnsi="Arial" w:eastAsia="等线" w:cs="Arial"/>
          <w:sz w:val="16"/>
          <w:szCs w:val="16"/>
        </w:rPr>
        <w:t>45(20), e170-e170.</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S Mincho">
    <w:panose1 w:val="02020609040205080304"/>
    <w:charset w:val="80"/>
    <w:family w:val="modern"/>
    <w:pitch w:val="default"/>
    <w:sig w:usb0="E00002FF" w:usb1="6AC7FDFB" w:usb2="00000012" w:usb3="00000000" w:csb0="4002009F" w:csb1="DFD70000"/>
  </w:font>
  <w:font w:name="Verdana">
    <w:panose1 w:val="020B0604030504040204"/>
    <w:charset w:val="00"/>
    <w:family w:val="swiss"/>
    <w:pitch w:val="default"/>
    <w:sig w:usb0="A10006FF" w:usb1="4000205B" w:usb2="00000010" w:usb3="00000000" w:csb0="2000019F" w:csb1="00000000"/>
  </w:font>
  <w:font w:name="MyriadPro-Light">
    <w:altName w:val="微软雅黑"/>
    <w:panose1 w:val="00000000000000000000"/>
    <w:charset w:val="86"/>
    <w:family w:val="swiss"/>
    <w:pitch w:val="default"/>
    <w:sig w:usb0="00000000" w:usb1="00000000" w:usb2="00000010" w:usb3="00000000" w:csb0="00040000" w:csb1="00000000"/>
  </w:font>
  <w:font w:name="Gungsuh">
    <w:panose1 w:val="02030600000101010101"/>
    <w:charset w:val="81"/>
    <w:family w:val="roman"/>
    <w:pitch w:val="default"/>
    <w:sig w:usb0="B00002AF" w:usb1="69D77CFB" w:usb2="00000030" w:usb3="00000000" w:csb0="4008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4725130"/>
      <w:docPartObj>
        <w:docPartGallery w:val="autotext"/>
      </w:docPartObj>
    </w:sdtPr>
    <w:sdtContent>
      <w:p>
        <w:pPr>
          <w:pStyle w:val="2"/>
          <w:jc w:val="center"/>
        </w:pPr>
        <w:r>
          <w:t>S</w:t>
        </w:r>
        <w:r>
          <w:fldChar w:fldCharType="begin"/>
        </w:r>
        <w:r>
          <w:instrText xml:space="preserve">PAGE   \* MERGEFORMAT</w:instrText>
        </w:r>
        <w:r>
          <w:fldChar w:fldCharType="separate"/>
        </w:r>
        <w:r>
          <w:rPr>
            <w:lang w:val="zh-CN" w:eastAsia="zh-CN"/>
          </w:rPr>
          <w:t>2</w:t>
        </w:r>
        <w: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A1713D"/>
    <w:multiLevelType w:val="singleLevel"/>
    <w:tmpl w:val="EEA1713D"/>
    <w:lvl w:ilvl="0" w:tentative="0">
      <w:start w:val="1"/>
      <w:numFmt w:val="upperLetter"/>
      <w:suff w:val="space"/>
      <w:lvlText w:val="%1."/>
      <w:lvlJc w:val="left"/>
    </w:lvl>
  </w:abstractNum>
  <w:abstractNum w:abstractNumId="1">
    <w:nsid w:val="3E685689"/>
    <w:multiLevelType w:val="singleLevel"/>
    <w:tmpl w:val="3E685689"/>
    <w:lvl w:ilvl="0" w:tentative="0">
      <w:start w:val="4"/>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340"/>
    <w:rsid w:val="0008246C"/>
    <w:rsid w:val="0014728B"/>
    <w:rsid w:val="001543E0"/>
    <w:rsid w:val="001640FF"/>
    <w:rsid w:val="00173107"/>
    <w:rsid w:val="001D4757"/>
    <w:rsid w:val="001D6F3D"/>
    <w:rsid w:val="00201C12"/>
    <w:rsid w:val="0023292B"/>
    <w:rsid w:val="004C6809"/>
    <w:rsid w:val="005773E6"/>
    <w:rsid w:val="00577E79"/>
    <w:rsid w:val="00610906"/>
    <w:rsid w:val="006454B3"/>
    <w:rsid w:val="0071761C"/>
    <w:rsid w:val="00807BA4"/>
    <w:rsid w:val="0090482E"/>
    <w:rsid w:val="009C48E2"/>
    <w:rsid w:val="00A64340"/>
    <w:rsid w:val="00A6441B"/>
    <w:rsid w:val="00AB6B00"/>
    <w:rsid w:val="00B15BD1"/>
    <w:rsid w:val="00B25C84"/>
    <w:rsid w:val="00B50FC5"/>
    <w:rsid w:val="00B537C1"/>
    <w:rsid w:val="00BA007D"/>
    <w:rsid w:val="00BF557C"/>
    <w:rsid w:val="00C9761A"/>
    <w:rsid w:val="00CE6C43"/>
    <w:rsid w:val="03EF7D3D"/>
    <w:rsid w:val="041D6384"/>
    <w:rsid w:val="04900C82"/>
    <w:rsid w:val="06F2658D"/>
    <w:rsid w:val="0CB817DF"/>
    <w:rsid w:val="11710594"/>
    <w:rsid w:val="12041F32"/>
    <w:rsid w:val="15DC2B6F"/>
    <w:rsid w:val="17EC5AC4"/>
    <w:rsid w:val="1C797E35"/>
    <w:rsid w:val="1DF61CBC"/>
    <w:rsid w:val="1E5E4B14"/>
    <w:rsid w:val="1FD2521B"/>
    <w:rsid w:val="21071414"/>
    <w:rsid w:val="2275277C"/>
    <w:rsid w:val="24A36C76"/>
    <w:rsid w:val="256E723F"/>
    <w:rsid w:val="261E18D6"/>
    <w:rsid w:val="29815B2B"/>
    <w:rsid w:val="2B4B0750"/>
    <w:rsid w:val="2CC24E82"/>
    <w:rsid w:val="2D7D1E4B"/>
    <w:rsid w:val="2E0572E2"/>
    <w:rsid w:val="35DC4222"/>
    <w:rsid w:val="39852323"/>
    <w:rsid w:val="401B6607"/>
    <w:rsid w:val="46075817"/>
    <w:rsid w:val="4683522F"/>
    <w:rsid w:val="4CA15D59"/>
    <w:rsid w:val="4DF97948"/>
    <w:rsid w:val="4FA42E0C"/>
    <w:rsid w:val="4FFE66AF"/>
    <w:rsid w:val="50312ACF"/>
    <w:rsid w:val="56086C81"/>
    <w:rsid w:val="586911B4"/>
    <w:rsid w:val="5A663A64"/>
    <w:rsid w:val="5C422C6D"/>
    <w:rsid w:val="5D737746"/>
    <w:rsid w:val="625E219E"/>
    <w:rsid w:val="64400BED"/>
    <w:rsid w:val="659C7318"/>
    <w:rsid w:val="68CF70C3"/>
    <w:rsid w:val="693E6947"/>
    <w:rsid w:val="6C8D653D"/>
    <w:rsid w:val="6D442D66"/>
    <w:rsid w:val="6DB0150C"/>
    <w:rsid w:val="701C6022"/>
    <w:rsid w:val="71D80F5A"/>
    <w:rsid w:val="74996BC4"/>
    <w:rsid w:val="74F944ED"/>
    <w:rsid w:val="79C1509A"/>
    <w:rsid w:val="7B0B09BE"/>
    <w:rsid w:val="7B2843C6"/>
    <w:rsid w:val="7BE135F8"/>
    <w:rsid w:val="7D286E9C"/>
    <w:rsid w:val="7F146F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16"/>
    <w:unhideWhenUsed/>
    <w:qFormat/>
    <w:uiPriority w:val="99"/>
    <w:pPr>
      <w:tabs>
        <w:tab w:val="center" w:pos="4513"/>
        <w:tab w:val="right" w:pos="9026"/>
      </w:tabs>
    </w:pPr>
    <w:rPr>
      <w:lang w:eastAsia="en-US"/>
    </w:rPr>
  </w:style>
  <w:style w:type="paragraph" w:styleId="3">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Emphasis"/>
    <w:basedOn w:val="6"/>
    <w:qFormat/>
    <w:uiPriority w:val="20"/>
    <w:rPr>
      <w:i/>
      <w:iCs/>
    </w:rPr>
  </w:style>
  <w:style w:type="character" w:styleId="8">
    <w:name w:val="line number"/>
    <w:basedOn w:val="6"/>
    <w:uiPriority w:val="0"/>
  </w:style>
  <w:style w:type="character" w:styleId="9">
    <w:name w:val="Hyperlink"/>
    <w:basedOn w:val="6"/>
    <w:uiPriority w:val="0"/>
    <w:rPr>
      <w:color w:val="0563C1" w:themeColor="hyperlink"/>
      <w:u w:val="single"/>
      <w14:textFill>
        <w14:solidFill>
          <w14:schemeClr w14:val="hlink"/>
        </w14:solidFill>
      </w14:textFill>
    </w:rPr>
  </w:style>
  <w:style w:type="character" w:customStyle="1" w:styleId="10">
    <w:name w:val="Hyperlink.0"/>
    <w:basedOn w:val="11"/>
    <w:qFormat/>
    <w:uiPriority w:val="0"/>
    <w:rPr>
      <w:rFonts w:ascii="Arial" w:hAnsi="Arial" w:eastAsia="Arial" w:cs="Arial"/>
      <w:color w:val="000000"/>
      <w:sz w:val="20"/>
      <w:szCs w:val="20"/>
      <w:u w:color="000000"/>
    </w:rPr>
  </w:style>
  <w:style w:type="character" w:customStyle="1" w:styleId="11">
    <w:name w:val="无"/>
    <w:qFormat/>
    <w:uiPriority w:val="0"/>
  </w:style>
  <w:style w:type="paragraph" w:customStyle="1" w:styleId="12">
    <w:name w:val="正文 A"/>
    <w:qFormat/>
    <w:uiPriority w:val="0"/>
    <w:pPr>
      <w:spacing w:after="200" w:line="276" w:lineRule="auto"/>
    </w:pPr>
    <w:rPr>
      <w:rFonts w:ascii="Calibri" w:hAnsi="Calibri" w:eastAsia="Calibri" w:cs="Calibri"/>
      <w:color w:val="000000"/>
      <w:sz w:val="22"/>
      <w:szCs w:val="22"/>
      <w:u w:color="000000"/>
      <w:lang w:val="en-US" w:eastAsia="zh-CN" w:bidi="ar-SA"/>
    </w:rPr>
  </w:style>
  <w:style w:type="character" w:customStyle="1" w:styleId="13">
    <w:name w:val="页眉 字符"/>
    <w:basedOn w:val="6"/>
    <w:link w:val="3"/>
    <w:qFormat/>
    <w:uiPriority w:val="0"/>
    <w:rPr>
      <w:rFonts w:asciiTheme="minorHAnsi" w:hAnsiTheme="minorHAnsi" w:eastAsiaTheme="minorEastAsia" w:cstheme="minorBidi"/>
      <w:kern w:val="2"/>
      <w:sz w:val="18"/>
      <w:szCs w:val="18"/>
    </w:rPr>
  </w:style>
  <w:style w:type="paragraph" w:customStyle="1" w:styleId="14">
    <w:name w:val="WPSOffice手动目录 1"/>
    <w:qFormat/>
    <w:uiPriority w:val="0"/>
    <w:rPr>
      <w:rFonts w:asciiTheme="minorHAnsi" w:hAnsiTheme="minorHAnsi" w:eastAsiaTheme="minorEastAsia" w:cstheme="minorBidi"/>
      <w:lang w:val="en-US" w:eastAsia="zh-CN" w:bidi="ar-SA"/>
    </w:rPr>
  </w:style>
  <w:style w:type="character" w:customStyle="1" w:styleId="15">
    <w:name w:val="Unresolved Mention"/>
    <w:basedOn w:val="6"/>
    <w:semiHidden/>
    <w:unhideWhenUsed/>
    <w:qFormat/>
    <w:uiPriority w:val="99"/>
    <w:rPr>
      <w:color w:val="605E5C"/>
      <w:shd w:val="clear" w:color="auto" w:fill="E1DFDD"/>
    </w:rPr>
  </w:style>
  <w:style w:type="character" w:customStyle="1" w:styleId="16">
    <w:name w:val="页脚 字符"/>
    <w:basedOn w:val="6"/>
    <w:link w:val="2"/>
    <w:qFormat/>
    <w:uiPriority w:val="99"/>
    <w:rPr>
      <w:rFonts w:asciiTheme="minorHAnsi" w:hAnsiTheme="minorHAnsi" w:eastAsiaTheme="minorEastAsia" w:cstheme="minorBidi"/>
      <w:kern w:val="2"/>
      <w:sz w:val="21"/>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6" Type="http://schemas.openxmlformats.org/officeDocument/2006/relationships/glossaryDocument" Target="glossary/document.xml"/><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40.png"/><Relationship Id="rId81" Type="http://schemas.openxmlformats.org/officeDocument/2006/relationships/image" Target="media/image39.png"/><Relationship Id="rId80" Type="http://schemas.openxmlformats.org/officeDocument/2006/relationships/image" Target="media/image38.png"/><Relationship Id="rId8" Type="http://schemas.openxmlformats.org/officeDocument/2006/relationships/image" Target="media/image2.wmf"/><Relationship Id="rId79" Type="http://schemas.openxmlformats.org/officeDocument/2006/relationships/image" Target="media/image1.tiff"/><Relationship Id="rId78" Type="http://schemas.openxmlformats.org/officeDocument/2006/relationships/image" Target="media/image37.png"/><Relationship Id="rId77" Type="http://schemas.openxmlformats.org/officeDocument/2006/relationships/image" Target="media/image36.png"/><Relationship Id="rId76" Type="http://schemas.openxmlformats.org/officeDocument/2006/relationships/oleObject" Target="embeddings/oleObject37.bin"/><Relationship Id="rId75" Type="http://schemas.openxmlformats.org/officeDocument/2006/relationships/image" Target="media/image35.wmf"/><Relationship Id="rId74" Type="http://schemas.openxmlformats.org/officeDocument/2006/relationships/oleObject" Target="embeddings/oleObject36.bin"/><Relationship Id="rId73" Type="http://schemas.openxmlformats.org/officeDocument/2006/relationships/oleObject" Target="embeddings/oleObject35.bin"/><Relationship Id="rId72" Type="http://schemas.openxmlformats.org/officeDocument/2006/relationships/image" Target="media/image34.wmf"/><Relationship Id="rId71" Type="http://schemas.openxmlformats.org/officeDocument/2006/relationships/oleObject" Target="embeddings/oleObject34.bin"/><Relationship Id="rId70" Type="http://schemas.openxmlformats.org/officeDocument/2006/relationships/image" Target="media/image33.wmf"/><Relationship Id="rId7" Type="http://schemas.openxmlformats.org/officeDocument/2006/relationships/oleObject" Target="embeddings/oleObject2.bin"/><Relationship Id="rId69" Type="http://schemas.openxmlformats.org/officeDocument/2006/relationships/oleObject" Target="embeddings/oleObject33.bin"/><Relationship Id="rId68" Type="http://schemas.openxmlformats.org/officeDocument/2006/relationships/image" Target="media/image32.wmf"/><Relationship Id="rId67" Type="http://schemas.openxmlformats.org/officeDocument/2006/relationships/oleObject" Target="embeddings/oleObject32.bin"/><Relationship Id="rId66" Type="http://schemas.openxmlformats.org/officeDocument/2006/relationships/image" Target="media/image31.wmf"/><Relationship Id="rId65" Type="http://schemas.openxmlformats.org/officeDocument/2006/relationships/oleObject" Target="embeddings/oleObject31.bin"/><Relationship Id="rId64" Type="http://schemas.openxmlformats.org/officeDocument/2006/relationships/image" Target="media/image30.wmf"/><Relationship Id="rId63" Type="http://schemas.openxmlformats.org/officeDocument/2006/relationships/oleObject" Target="embeddings/oleObject30.bin"/><Relationship Id="rId62" Type="http://schemas.openxmlformats.org/officeDocument/2006/relationships/image" Target="media/image29.wmf"/><Relationship Id="rId61" Type="http://schemas.openxmlformats.org/officeDocument/2006/relationships/oleObject" Target="embeddings/oleObject29.bin"/><Relationship Id="rId60" Type="http://schemas.openxmlformats.org/officeDocument/2006/relationships/image" Target="media/image28.wmf"/><Relationship Id="rId6" Type="http://schemas.openxmlformats.org/officeDocument/2006/relationships/image" Target="media/image1.wmf"/><Relationship Id="rId59" Type="http://schemas.openxmlformats.org/officeDocument/2006/relationships/oleObject" Target="embeddings/oleObject28.bin"/><Relationship Id="rId58" Type="http://schemas.openxmlformats.org/officeDocument/2006/relationships/image" Target="media/image27.wmf"/><Relationship Id="rId57" Type="http://schemas.openxmlformats.org/officeDocument/2006/relationships/oleObject" Target="embeddings/oleObject27.bin"/><Relationship Id="rId56" Type="http://schemas.openxmlformats.org/officeDocument/2006/relationships/image" Target="media/image26.png"/><Relationship Id="rId55" Type="http://schemas.openxmlformats.org/officeDocument/2006/relationships/oleObject" Target="embeddings/oleObject26.bin"/><Relationship Id="rId54" Type="http://schemas.openxmlformats.org/officeDocument/2006/relationships/image" Target="media/image25.wmf"/><Relationship Id="rId53" Type="http://schemas.openxmlformats.org/officeDocument/2006/relationships/oleObject" Target="embeddings/oleObject25.bin"/><Relationship Id="rId52" Type="http://schemas.openxmlformats.org/officeDocument/2006/relationships/image" Target="media/image24.png"/><Relationship Id="rId51" Type="http://schemas.openxmlformats.org/officeDocument/2006/relationships/image" Target="media/image23.wmf"/><Relationship Id="rId50" Type="http://schemas.openxmlformats.org/officeDocument/2006/relationships/oleObject" Target="embeddings/oleObject24.bin"/><Relationship Id="rId5" Type="http://schemas.openxmlformats.org/officeDocument/2006/relationships/oleObject" Target="embeddings/oleObject1.bin"/><Relationship Id="rId49" Type="http://schemas.openxmlformats.org/officeDocument/2006/relationships/image" Target="media/image22.wmf"/><Relationship Id="rId48" Type="http://schemas.openxmlformats.org/officeDocument/2006/relationships/oleObject" Target="embeddings/oleObject23.bin"/><Relationship Id="rId47" Type="http://schemas.openxmlformats.org/officeDocument/2006/relationships/image" Target="media/image21.wmf"/><Relationship Id="rId46" Type="http://schemas.openxmlformats.org/officeDocument/2006/relationships/oleObject" Target="embeddings/oleObject22.bin"/><Relationship Id="rId45" Type="http://schemas.openxmlformats.org/officeDocument/2006/relationships/oleObject" Target="embeddings/oleObject21.bin"/><Relationship Id="rId44" Type="http://schemas.openxmlformats.org/officeDocument/2006/relationships/image" Target="media/image20.wmf"/><Relationship Id="rId43" Type="http://schemas.openxmlformats.org/officeDocument/2006/relationships/oleObject" Target="embeddings/oleObject20.bin"/><Relationship Id="rId42" Type="http://schemas.openxmlformats.org/officeDocument/2006/relationships/image" Target="media/image19.wmf"/><Relationship Id="rId41" Type="http://schemas.openxmlformats.org/officeDocument/2006/relationships/oleObject" Target="embeddings/oleObject19.bin"/><Relationship Id="rId40" Type="http://schemas.openxmlformats.org/officeDocument/2006/relationships/image" Target="media/image18.wmf"/><Relationship Id="rId4" Type="http://schemas.openxmlformats.org/officeDocument/2006/relationships/theme" Target="theme/theme1.xml"/><Relationship Id="rId39" Type="http://schemas.openxmlformats.org/officeDocument/2006/relationships/oleObject" Target="embeddings/oleObject18.bin"/><Relationship Id="rId38" Type="http://schemas.openxmlformats.org/officeDocument/2006/relationships/image" Target="media/image17.wmf"/><Relationship Id="rId37" Type="http://schemas.openxmlformats.org/officeDocument/2006/relationships/oleObject" Target="embeddings/oleObject17.bin"/><Relationship Id="rId36" Type="http://schemas.openxmlformats.org/officeDocument/2006/relationships/image" Target="media/image16.wmf"/><Relationship Id="rId35" Type="http://schemas.openxmlformats.org/officeDocument/2006/relationships/oleObject" Target="embeddings/oleObject16.bin"/><Relationship Id="rId34" Type="http://schemas.openxmlformats.org/officeDocument/2006/relationships/image" Target="media/image15.wmf"/><Relationship Id="rId33" Type="http://schemas.openxmlformats.org/officeDocument/2006/relationships/oleObject" Target="embeddings/oleObject15.bin"/><Relationship Id="rId32" Type="http://schemas.openxmlformats.org/officeDocument/2006/relationships/image" Target="media/image14.wmf"/><Relationship Id="rId31" Type="http://schemas.openxmlformats.org/officeDocument/2006/relationships/oleObject" Target="embeddings/oleObject14.bin"/><Relationship Id="rId30" Type="http://schemas.openxmlformats.org/officeDocument/2006/relationships/image" Target="media/image13.wmf"/><Relationship Id="rId3" Type="http://schemas.openxmlformats.org/officeDocument/2006/relationships/footer" Target="footer1.xml"/><Relationship Id="rId29" Type="http://schemas.openxmlformats.org/officeDocument/2006/relationships/oleObject" Target="embeddings/oleObject13.bin"/><Relationship Id="rId28" Type="http://schemas.openxmlformats.org/officeDocument/2006/relationships/image" Target="media/image12.wmf"/><Relationship Id="rId27" Type="http://schemas.openxmlformats.org/officeDocument/2006/relationships/oleObject" Target="embeddings/oleObject12.bin"/><Relationship Id="rId26" Type="http://schemas.openxmlformats.org/officeDocument/2006/relationships/image" Target="media/image11.wmf"/><Relationship Id="rId25" Type="http://schemas.openxmlformats.org/officeDocument/2006/relationships/oleObject" Target="embeddings/oleObject11.bin"/><Relationship Id="rId24" Type="http://schemas.openxmlformats.org/officeDocument/2006/relationships/image" Target="media/image10.wmf"/><Relationship Id="rId23" Type="http://schemas.openxmlformats.org/officeDocument/2006/relationships/oleObject" Target="embeddings/oleObject10.bin"/><Relationship Id="rId22" Type="http://schemas.openxmlformats.org/officeDocument/2006/relationships/image" Target="media/image9.wmf"/><Relationship Id="rId21" Type="http://schemas.openxmlformats.org/officeDocument/2006/relationships/oleObject" Target="embeddings/oleObject9.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7.wmf"/><Relationship Id="rId17" Type="http://schemas.openxmlformats.org/officeDocument/2006/relationships/oleObject" Target="embeddings/oleObject7.bin"/><Relationship Id="rId16" Type="http://schemas.openxmlformats.org/officeDocument/2006/relationships/image" Target="media/image6.wmf"/><Relationship Id="rId15" Type="http://schemas.openxmlformats.org/officeDocument/2006/relationships/oleObject" Target="embeddings/oleObject6.bin"/><Relationship Id="rId14" Type="http://schemas.openxmlformats.org/officeDocument/2006/relationships/image" Target="media/image5.wmf"/><Relationship Id="rId13" Type="http://schemas.openxmlformats.org/officeDocument/2006/relationships/oleObject" Target="embeddings/oleObject5.bin"/><Relationship Id="rId12" Type="http://schemas.openxmlformats.org/officeDocument/2006/relationships/image" Target="media/image4.wmf"/><Relationship Id="rId11" Type="http://schemas.openxmlformats.org/officeDocument/2006/relationships/oleObject" Target="embeddings/oleObject4.bin"/><Relationship Id="rId10" Type="http://schemas.openxmlformats.org/officeDocument/2006/relationships/image" Target="media/image3.wmf"/><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b956777-522c-46e5-96df-72645b649ef7}"/>
        <w:style w:val=""/>
        <w:category>
          <w:name w:val="常规"/>
          <w:gallery w:val="placeholder"/>
        </w:category>
        <w:types>
          <w:type w:val="bbPlcHdr"/>
        </w:types>
        <w:behaviors>
          <w:behavior w:val="content"/>
        </w:behaviors>
        <w:description w:val=""/>
        <w:guid w:val="{5B956777-522C-46E5-96DF-72645B649EF7}"/>
      </w:docPartPr>
      <w:docPartBody>
        <w:p>
          <w:r>
            <w:rPr>
              <w:color w:val="808080"/>
            </w:rPr>
            <w:t>单击此处输入文字。</w:t>
          </w:r>
        </w:p>
      </w:docPartBody>
    </w:docPart>
    <w:docPart>
      <w:docPartPr>
        <w:name w:val="{32bd1086-d8ab-4eb7-a754-8692c51fc69f}"/>
        <w:style w:val=""/>
        <w:category>
          <w:name w:val="常规"/>
          <w:gallery w:val="placeholder"/>
        </w:category>
        <w:types>
          <w:type w:val="bbPlcHdr"/>
        </w:types>
        <w:behaviors>
          <w:behavior w:val="content"/>
        </w:behaviors>
        <w:description w:val=""/>
        <w:guid w:val="{32BD1086-D8AB-4EB7-A754-8692C51FC69F}"/>
      </w:docPartPr>
      <w:docPartBody>
        <w:p>
          <w:r>
            <w:rPr>
              <w:color w:val="808080"/>
            </w:rPr>
            <w:t>单击此处输入文字。</w:t>
          </w:r>
        </w:p>
      </w:docPartBody>
    </w:docPart>
    <w:docPart>
      <w:docPartPr>
        <w:name w:val="{481db0a4-e581-40e2-8ef8-598e411ed002}"/>
        <w:style w:val=""/>
        <w:category>
          <w:name w:val="常规"/>
          <w:gallery w:val="placeholder"/>
        </w:category>
        <w:types>
          <w:type w:val="bbPlcHdr"/>
        </w:types>
        <w:behaviors>
          <w:behavior w:val="content"/>
        </w:behaviors>
        <w:description w:val=""/>
        <w:guid w:val="{481DB0A4-E581-40E2-8EF8-598E411ED002}"/>
      </w:docPartPr>
      <w:docPartBody>
        <w:p>
          <w:r>
            <w:rPr>
              <w:color w:val="808080"/>
            </w:rPr>
            <w:t>单击此处输入文字。</w:t>
          </w:r>
        </w:p>
      </w:docPartBody>
    </w:docPart>
    <w:docPart>
      <w:docPartPr>
        <w:name w:val="{71cd63de-fa4a-43b4-8211-8070e78ecae8}"/>
        <w:style w:val=""/>
        <w:category>
          <w:name w:val="常规"/>
          <w:gallery w:val="placeholder"/>
        </w:category>
        <w:types>
          <w:type w:val="bbPlcHdr"/>
        </w:types>
        <w:behaviors>
          <w:behavior w:val="content"/>
        </w:behaviors>
        <w:description w:val=""/>
        <w:guid w:val="{71CD63DE-FA4A-43B4-8211-8070E78ECAE8}"/>
      </w:docPartPr>
      <w:docPartBody>
        <w:p>
          <w:r>
            <w:rPr>
              <w:color w:val="808080"/>
            </w:rPr>
            <w:t>单击此处输入文字。</w:t>
          </w:r>
        </w:p>
      </w:docPartBody>
    </w:docPart>
    <w:docPart>
      <w:docPartPr>
        <w:name w:val="{ed8bf395-2522-4c47-a3f9-a5a58195bf22}"/>
        <w:style w:val=""/>
        <w:category>
          <w:name w:val="常规"/>
          <w:gallery w:val="placeholder"/>
        </w:category>
        <w:types>
          <w:type w:val="bbPlcHdr"/>
        </w:types>
        <w:behaviors>
          <w:behavior w:val="content"/>
        </w:behaviors>
        <w:description w:val=""/>
        <w:guid w:val="{ED8BF395-2522-4C47-A3F9-A5A58195BF22}"/>
      </w:docPartPr>
      <w:docPartBody>
        <w:p>
          <w:r>
            <w:rPr>
              <w:color w:val="808080"/>
            </w:rPr>
            <w:t>单击此处输入文字。</w:t>
          </w:r>
        </w:p>
      </w:docPartBody>
    </w:docPart>
    <w:docPart>
      <w:docPartPr>
        <w:name w:val="{5f9d538a-6afb-48bb-a9df-ced60120be92}"/>
        <w:style w:val=""/>
        <w:category>
          <w:name w:val="常规"/>
          <w:gallery w:val="placeholder"/>
        </w:category>
        <w:types>
          <w:type w:val="bbPlcHdr"/>
        </w:types>
        <w:behaviors>
          <w:behavior w:val="content"/>
        </w:behaviors>
        <w:description w:val=""/>
        <w:guid w:val="{5F9D538A-6AFB-48BB-A9DF-CED60120BE92}"/>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894716"/>
    <w:rsid w:val="002E6686"/>
    <w:rsid w:val="00420DF3"/>
    <w:rsid w:val="00527A85"/>
    <w:rsid w:val="00894716"/>
    <w:rsid w:val="00BE1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3758</Words>
  <Characters>21424</Characters>
  <Lines>178</Lines>
  <Paragraphs>50</Paragraphs>
  <TotalTime>2</TotalTime>
  <ScaleCrop>false</ScaleCrop>
  <LinksUpToDate>false</LinksUpToDate>
  <CharactersWithSpaces>25132</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Miller</dc:creator>
  <cp:lastModifiedBy>发出光芒</cp:lastModifiedBy>
  <dcterms:modified xsi:type="dcterms:W3CDTF">2019-12-30T14:32:25Z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