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drawing>
          <wp:inline distT="0" distB="0" distL="0" distR="0">
            <wp:extent cx="5274310" cy="5786755"/>
            <wp:effectExtent l="0" t="0" r="1397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8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Supplementary figure 1. </w:t>
      </w:r>
      <w:r>
        <w:rPr>
          <w:rFonts w:ascii="Times New Roman" w:hAnsi="Times New Roman" w:cs="Times New Roman"/>
        </w:rPr>
        <w:t>Kaplan-Meier survival analysis for the association between the expression of SYNGR2 and overall survival (OS) of pan-cancer.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drawing>
          <wp:inline distT="0" distB="0" distL="0" distR="0">
            <wp:extent cx="5274310" cy="5592445"/>
            <wp:effectExtent l="0" t="0" r="1397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9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Supplementary figure 2. </w:t>
      </w:r>
      <w:r>
        <w:rPr>
          <w:rFonts w:ascii="Times New Roman" w:hAnsi="Times New Roman" w:cs="Times New Roman"/>
        </w:rPr>
        <w:t>Kaplan-Meier survival analysis for the association between the expression of SYNGR2 and disease-specific survival (DSS) of pan-cancer.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274310" cy="5701030"/>
            <wp:effectExtent l="0" t="0" r="1397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0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Supplementary figure 3. </w:t>
      </w:r>
      <w:r>
        <w:rPr>
          <w:rFonts w:ascii="Times New Roman" w:hAnsi="Times New Roman" w:cs="Times New Roman"/>
        </w:rPr>
        <w:t>Kaplan-Meier survival analysis for the association between the expression of SYNGR2 and disease-free interval (DFI) of pan-cancer.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274310" cy="5339080"/>
            <wp:effectExtent l="0" t="0" r="13970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3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Supplementary figure 4. </w:t>
      </w:r>
      <w:r>
        <w:rPr>
          <w:rFonts w:ascii="Times New Roman" w:hAnsi="Times New Roman" w:cs="Times New Roman"/>
        </w:rPr>
        <w:t>Kaplan-Meier survival analysis for the association between the expression of SYNGR2 and progression-free interval (PFI) of pan-cancer.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drawing>
          <wp:inline distT="0" distB="0" distL="0" distR="0">
            <wp:extent cx="5274310" cy="4034155"/>
            <wp:effectExtent l="0" t="0" r="1397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Supplementary figure 5. </w:t>
      </w:r>
      <w:r>
        <w:rPr>
          <w:rFonts w:ascii="Times New Roman" w:hAnsi="Times New Roman" w:cs="Times New Roman"/>
        </w:rPr>
        <w:t>Correlation between the expression of SYNGR2 and stromal scores in pan-cancer.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drawing>
          <wp:inline distT="0" distB="0" distL="0" distR="0">
            <wp:extent cx="5274310" cy="4919980"/>
            <wp:effectExtent l="0" t="0" r="1397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1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 figure 6.</w:t>
      </w:r>
      <w:r>
        <w:rPr>
          <w:rFonts w:ascii="Times New Roman" w:hAnsi="Times New Roman" w:cs="Times New Roman"/>
        </w:rPr>
        <w:t xml:space="preserve"> (A, C).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Nomogram for predicting the proportion of patients with DSS, and PFI. (B, D). Calibration curves of the nomogram for 1, 3, and 5 years.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U4OTM1NDA0NGE2ZGFiOTg5Zjk1NzcwMDcwZDc0MWUifQ=="/>
  </w:docVars>
  <w:rsids>
    <w:rsidRoot w:val="14D33304"/>
    <w:rsid w:val="14D33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2023-02-08T11:51:00Z</dcterms:created>
  <dc:creator>朴诵焦蚜埠</dc:creator>
  <cp:lastModifiedBy>朴诵焦蚜埠</cp:lastModifiedBy>
  <dcterms:modified xsi:type="dcterms:W3CDTF">2023-02-08T11:52:15Z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930F2E8DF1464BE8B489431413D79F44</vt:lpwstr>
  </property>
</Properties>
</file>