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55355" w14:textId="4419804C" w:rsidR="002C4F4C" w:rsidRDefault="002C4F4C" w:rsidP="00666E14">
      <w:pPr>
        <w:jc w:val="both"/>
        <w:rPr>
          <w:rFonts w:asciiTheme="majorBidi" w:hAnsiTheme="majorBidi" w:cstheme="majorBidi"/>
        </w:rPr>
      </w:pPr>
      <w:r>
        <w:rPr>
          <w:rFonts w:asciiTheme="majorBidi" w:hAnsiTheme="majorBidi" w:cstheme="majorBidi"/>
          <w:noProof/>
        </w:rPr>
        <w:drawing>
          <wp:inline distT="0" distB="0" distL="0" distR="0" wp14:anchorId="215BCC23" wp14:editId="6731D498">
            <wp:extent cx="5943600" cy="2702560"/>
            <wp:effectExtent l="0" t="0" r="0" b="0"/>
            <wp:docPr id="11740087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08741" name="Picture 117400874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2702560"/>
                    </a:xfrm>
                    <a:prstGeom prst="rect">
                      <a:avLst/>
                    </a:prstGeom>
                  </pic:spPr>
                </pic:pic>
              </a:graphicData>
            </a:graphic>
          </wp:inline>
        </w:drawing>
      </w:r>
    </w:p>
    <w:p w14:paraId="50C98322" w14:textId="5DBF65FF" w:rsidR="00666E14" w:rsidRDefault="00666E14" w:rsidP="00666E14">
      <w:pPr>
        <w:jc w:val="both"/>
        <w:rPr>
          <w:rFonts w:asciiTheme="majorBidi" w:hAnsiTheme="majorBidi" w:cstheme="majorBidi"/>
          <w:rtl/>
        </w:rPr>
      </w:pPr>
      <w:r w:rsidRPr="00666E14">
        <w:rPr>
          <w:rFonts w:asciiTheme="majorBidi" w:hAnsiTheme="majorBidi" w:cstheme="majorBidi"/>
        </w:rPr>
        <w:t>Figure S1. Overview of somatic mutation patterns across TCGA pan-cancer samples. Summary plots display A) the distribution of variant classifications, B) variant types, and C) the top 10 most frequently mutated genes. Missense mutations were the most prevalent variant classification across samples, and single nucleotide polymorphisms (SNPs) were the most common variant type identified. In the mutation summary, different colors represent specific variant classifications</w:t>
      </w:r>
      <w:r>
        <w:rPr>
          <w:rFonts w:asciiTheme="majorBidi" w:hAnsiTheme="majorBidi" w:cstheme="majorBidi"/>
        </w:rPr>
        <w:t xml:space="preserve">, </w:t>
      </w:r>
      <w:r w:rsidR="00A93790" w:rsidRPr="00A93790">
        <w:rPr>
          <w:rFonts w:asciiTheme="majorBidi" w:hAnsiTheme="majorBidi" w:cstheme="majorBidi"/>
        </w:rPr>
        <w:t xml:space="preserve">including </w:t>
      </w:r>
      <w:r w:rsidRPr="00666E14">
        <w:rPr>
          <w:rFonts w:asciiTheme="majorBidi" w:hAnsiTheme="majorBidi" w:cstheme="majorBidi"/>
        </w:rPr>
        <w:t xml:space="preserve">green (missense), blue (splice site), purple (frameshift), and orange (in-frame mutations). Black bars indicate </w:t>
      </w:r>
      <w:r>
        <w:rPr>
          <w:rFonts w:asciiTheme="majorBidi" w:hAnsiTheme="majorBidi" w:cstheme="majorBidi"/>
        </w:rPr>
        <w:t>multi-hit</w:t>
      </w:r>
      <w:r w:rsidRPr="00666E14">
        <w:rPr>
          <w:rFonts w:asciiTheme="majorBidi" w:hAnsiTheme="majorBidi" w:cstheme="majorBidi"/>
        </w:rPr>
        <w:t xml:space="preserve"> events, in which multiple mutations occur in the same gene within a sample.</w:t>
      </w:r>
    </w:p>
    <w:p w14:paraId="268DEB6D" w14:textId="77777777" w:rsidR="002C4F4C" w:rsidRDefault="002C4F4C" w:rsidP="00666E14">
      <w:pPr>
        <w:jc w:val="both"/>
        <w:rPr>
          <w:rFonts w:asciiTheme="majorBidi" w:hAnsiTheme="majorBidi" w:cstheme="majorBidi"/>
          <w:rtl/>
        </w:rPr>
      </w:pPr>
    </w:p>
    <w:p w14:paraId="68F676EF" w14:textId="77777777" w:rsidR="002C4F4C" w:rsidRDefault="002C4F4C" w:rsidP="00666E14">
      <w:pPr>
        <w:jc w:val="both"/>
        <w:rPr>
          <w:rFonts w:asciiTheme="majorBidi" w:hAnsiTheme="majorBidi" w:cstheme="majorBidi"/>
          <w:rtl/>
        </w:rPr>
      </w:pPr>
    </w:p>
    <w:p w14:paraId="5DB882BF" w14:textId="77777777" w:rsidR="00666E14" w:rsidRDefault="00666E14" w:rsidP="00666E14">
      <w:pPr>
        <w:jc w:val="both"/>
        <w:rPr>
          <w:rFonts w:asciiTheme="majorBidi" w:hAnsiTheme="majorBidi" w:cstheme="majorBidi"/>
        </w:rPr>
      </w:pPr>
    </w:p>
    <w:p w14:paraId="225477AB" w14:textId="506DC174" w:rsidR="002C4F4C" w:rsidRDefault="002C4F4C" w:rsidP="00987A3A">
      <w:pPr>
        <w:rPr>
          <w:rFonts w:asciiTheme="majorBidi" w:hAnsiTheme="majorBidi" w:cstheme="majorBidi"/>
        </w:rPr>
      </w:pPr>
      <w:r>
        <w:rPr>
          <w:rFonts w:asciiTheme="majorBidi" w:hAnsiTheme="majorBidi" w:cstheme="majorBidi"/>
          <w:noProof/>
        </w:rPr>
        <w:lastRenderedPageBreak/>
        <w:drawing>
          <wp:anchor distT="0" distB="0" distL="114300" distR="114300" simplePos="0" relativeHeight="251658240" behindDoc="1" locked="0" layoutInCell="1" allowOverlap="1" wp14:anchorId="1DA36040" wp14:editId="3A2607C9">
            <wp:simplePos x="0" y="0"/>
            <wp:positionH relativeFrom="column">
              <wp:posOffset>-351460</wp:posOffset>
            </wp:positionH>
            <wp:positionV relativeFrom="paragraph">
              <wp:posOffset>0</wp:posOffset>
            </wp:positionV>
            <wp:extent cx="6655863" cy="3005805"/>
            <wp:effectExtent l="0" t="0" r="0" b="4445"/>
            <wp:wrapTight wrapText="bothSides">
              <wp:wrapPolygon edited="0">
                <wp:start x="0" y="0"/>
                <wp:lineTo x="0" y="21495"/>
                <wp:lineTo x="21516" y="21495"/>
                <wp:lineTo x="21516" y="0"/>
                <wp:lineTo x="0" y="0"/>
              </wp:wrapPolygon>
            </wp:wrapTight>
            <wp:docPr id="5786751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75172" name="Picture 578675172"/>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55863" cy="3005805"/>
                    </a:xfrm>
                    <a:prstGeom prst="rect">
                      <a:avLst/>
                    </a:prstGeom>
                  </pic:spPr>
                </pic:pic>
              </a:graphicData>
            </a:graphic>
            <wp14:sizeRelH relativeFrom="margin">
              <wp14:pctWidth>0</wp14:pctWidth>
            </wp14:sizeRelH>
            <wp14:sizeRelV relativeFrom="margin">
              <wp14:pctHeight>0</wp14:pctHeight>
            </wp14:sizeRelV>
          </wp:anchor>
        </w:drawing>
      </w:r>
    </w:p>
    <w:p w14:paraId="0A7CB999" w14:textId="27CA98CB" w:rsidR="00666E14" w:rsidRPr="00666E14" w:rsidRDefault="00666E14" w:rsidP="00666E14">
      <w:pPr>
        <w:jc w:val="both"/>
        <w:rPr>
          <w:rFonts w:asciiTheme="majorBidi" w:hAnsiTheme="majorBidi" w:cstheme="majorBidi"/>
        </w:rPr>
      </w:pPr>
      <w:r w:rsidRPr="00666E14">
        <w:rPr>
          <w:rFonts w:asciiTheme="majorBidi" w:hAnsiTheme="majorBidi" w:cstheme="majorBidi"/>
        </w:rPr>
        <w:t xml:space="preserve">Figure S2. Structural and cellular localization features of p62 protein. A) Schematic representation of p62 protein domains and their known interactors. The protein contains several functional domains, including PB1, ZZ, TBS, LIR, KIR, and UBA, each associated with various signaling, autophagic, and transcriptional pathways. Arrows indicate known interactions, with color-coded categories: </w:t>
      </w:r>
      <w:proofErr w:type="spellStart"/>
      <w:r w:rsidRPr="00666E14">
        <w:rPr>
          <w:rFonts w:asciiTheme="majorBidi" w:hAnsiTheme="majorBidi" w:cstheme="majorBidi"/>
        </w:rPr>
        <w:t>signaletic</w:t>
      </w:r>
      <w:proofErr w:type="spellEnd"/>
      <w:r w:rsidRPr="00666E14">
        <w:rPr>
          <w:rFonts w:asciiTheme="majorBidi" w:hAnsiTheme="majorBidi" w:cstheme="majorBidi"/>
        </w:rPr>
        <w:t xml:space="preserve"> interactors (blue), autophagic interactors (purple), transcription factors (orange), and kinase connections (green). B) Predicted cellular compartment of p62 based on the GeneCards data. Confidence levels (0–5) reflect the prediction strength across multiple compartments, including high-confidence localization in the lysosome, cytosol, and nucleus.</w:t>
      </w:r>
    </w:p>
    <w:p w14:paraId="6DE8DEBF" w14:textId="77777777" w:rsidR="00666E14" w:rsidRDefault="00666E14" w:rsidP="00666E14">
      <w:pPr>
        <w:jc w:val="both"/>
        <w:rPr>
          <w:rFonts w:asciiTheme="majorBidi" w:hAnsiTheme="majorBidi" w:cstheme="majorBidi"/>
        </w:rPr>
      </w:pPr>
    </w:p>
    <w:p w14:paraId="5FFA864D" w14:textId="53F3E166" w:rsidR="002C4F4C" w:rsidRPr="00666E14" w:rsidRDefault="002C4F4C" w:rsidP="00666E14">
      <w:pPr>
        <w:jc w:val="both"/>
        <w:rPr>
          <w:rFonts w:asciiTheme="majorBidi" w:hAnsiTheme="majorBidi" w:cstheme="majorBidi"/>
        </w:rPr>
      </w:pPr>
      <w:r>
        <w:rPr>
          <w:rFonts w:asciiTheme="majorBidi" w:hAnsiTheme="majorBidi" w:cstheme="majorBidi"/>
          <w:noProof/>
        </w:rPr>
        <w:lastRenderedPageBreak/>
        <w:drawing>
          <wp:inline distT="0" distB="0" distL="0" distR="0" wp14:anchorId="4E1AE344" wp14:editId="60B954B7">
            <wp:extent cx="5943600" cy="6934200"/>
            <wp:effectExtent l="0" t="0" r="0" b="0"/>
            <wp:docPr id="11292783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78372" name="Picture 112927837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6934200"/>
                    </a:xfrm>
                    <a:prstGeom prst="rect">
                      <a:avLst/>
                    </a:prstGeom>
                  </pic:spPr>
                </pic:pic>
              </a:graphicData>
            </a:graphic>
          </wp:inline>
        </w:drawing>
      </w:r>
    </w:p>
    <w:p w14:paraId="19B6401F" w14:textId="65E54F2F" w:rsidR="00666E14" w:rsidRPr="00666E14" w:rsidRDefault="00666E14" w:rsidP="00666E14">
      <w:pPr>
        <w:jc w:val="both"/>
        <w:rPr>
          <w:rFonts w:asciiTheme="majorBidi" w:hAnsiTheme="majorBidi" w:cstheme="majorBidi"/>
        </w:rPr>
      </w:pPr>
      <w:r w:rsidRPr="00666E14">
        <w:rPr>
          <w:rFonts w:asciiTheme="majorBidi" w:hAnsiTheme="majorBidi" w:cstheme="majorBidi"/>
        </w:rPr>
        <w:t xml:space="preserve">Figure S3. Expression levels of </w:t>
      </w:r>
      <w:r w:rsidRPr="002C4F4C">
        <w:rPr>
          <w:rFonts w:asciiTheme="majorBidi" w:hAnsiTheme="majorBidi" w:cstheme="majorBidi"/>
          <w:i/>
          <w:iCs/>
        </w:rPr>
        <w:t>p62</w:t>
      </w:r>
      <w:r w:rsidRPr="00666E14">
        <w:rPr>
          <w:rFonts w:asciiTheme="majorBidi" w:hAnsiTheme="majorBidi" w:cstheme="majorBidi"/>
        </w:rPr>
        <w:t xml:space="preserve"> in normal human tissues based on A) GTEx, B) FANTOM5, and C) Human Protein Atlas (HPA). Across all datasets, p62 exhibited the highest expression in the skeletal muscle.</w:t>
      </w:r>
    </w:p>
    <w:p w14:paraId="7FC6AD1D" w14:textId="77777777" w:rsidR="00666E14" w:rsidRPr="00666E14" w:rsidRDefault="00666E14" w:rsidP="00666E14">
      <w:pPr>
        <w:jc w:val="both"/>
        <w:rPr>
          <w:rFonts w:asciiTheme="majorBidi" w:hAnsiTheme="majorBidi" w:cstheme="majorBidi"/>
        </w:rPr>
      </w:pPr>
    </w:p>
    <w:p w14:paraId="2313F21F" w14:textId="3D055715" w:rsidR="002C4F4C" w:rsidRDefault="002C4F4C" w:rsidP="00666E14">
      <w:pPr>
        <w:jc w:val="both"/>
        <w:rPr>
          <w:rFonts w:asciiTheme="majorBidi" w:hAnsiTheme="majorBidi" w:cstheme="majorBidi"/>
          <w:rtl/>
        </w:rPr>
      </w:pPr>
      <w:r>
        <w:rPr>
          <w:rFonts w:asciiTheme="majorBidi" w:hAnsiTheme="majorBidi" w:cstheme="majorBidi"/>
          <w:noProof/>
          <w:rtl/>
          <w:lang w:val="ar-SA"/>
        </w:rPr>
        <w:lastRenderedPageBreak/>
        <w:drawing>
          <wp:inline distT="0" distB="0" distL="0" distR="0" wp14:anchorId="10EA9CB8" wp14:editId="707C042E">
            <wp:extent cx="5943600" cy="2097405"/>
            <wp:effectExtent l="0" t="0" r="0" b="0"/>
            <wp:docPr id="19427077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07792" name="Picture 194270779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097405"/>
                    </a:xfrm>
                    <a:prstGeom prst="rect">
                      <a:avLst/>
                    </a:prstGeom>
                  </pic:spPr>
                </pic:pic>
              </a:graphicData>
            </a:graphic>
          </wp:inline>
        </w:drawing>
      </w:r>
    </w:p>
    <w:p w14:paraId="03EC3929" w14:textId="4F3C4968" w:rsidR="00666E14" w:rsidRDefault="00666E14" w:rsidP="00666E14">
      <w:pPr>
        <w:jc w:val="both"/>
        <w:rPr>
          <w:rFonts w:asciiTheme="majorBidi" w:hAnsiTheme="majorBidi" w:cstheme="majorBidi"/>
          <w:rtl/>
        </w:rPr>
      </w:pPr>
      <w:r w:rsidRPr="00666E14">
        <w:rPr>
          <w:rFonts w:asciiTheme="majorBidi" w:hAnsiTheme="majorBidi" w:cstheme="majorBidi"/>
        </w:rPr>
        <w:t>Figure S4. Differential protein expression levels of p62 between tumor and normal tissues across multiple cancer types. Boxplots showing standardized p62 protein expression (Z-values) in tumor versus adjacent normal tissues across various cancer types, based on CPTAC data accessed via the UALCAN web tool. Elevated p62 protein levels were observed in tumor tissues compared to normal tissues in nine of the cancer types analyzed.</w:t>
      </w:r>
    </w:p>
    <w:p w14:paraId="2E71A840" w14:textId="77777777" w:rsidR="002C4F4C" w:rsidRPr="00666E14" w:rsidRDefault="002C4F4C" w:rsidP="00666E14">
      <w:pPr>
        <w:jc w:val="both"/>
        <w:rPr>
          <w:rFonts w:asciiTheme="majorBidi" w:hAnsiTheme="majorBidi" w:cstheme="majorBidi"/>
        </w:rPr>
      </w:pPr>
    </w:p>
    <w:p w14:paraId="3D43D630" w14:textId="77777777" w:rsidR="00666E14" w:rsidRDefault="00666E14" w:rsidP="00666E14">
      <w:pPr>
        <w:jc w:val="both"/>
        <w:rPr>
          <w:rFonts w:asciiTheme="majorBidi" w:hAnsiTheme="majorBidi" w:cstheme="majorBidi"/>
          <w:rtl/>
        </w:rPr>
      </w:pPr>
    </w:p>
    <w:p w14:paraId="2FE5F1C5" w14:textId="4B1C3CBB" w:rsidR="002C4F4C" w:rsidRPr="00666E14" w:rsidRDefault="002C4F4C" w:rsidP="00666E14">
      <w:pPr>
        <w:jc w:val="both"/>
        <w:rPr>
          <w:rFonts w:asciiTheme="majorBidi" w:hAnsiTheme="majorBidi" w:cstheme="majorBidi"/>
        </w:rPr>
      </w:pPr>
      <w:r>
        <w:rPr>
          <w:rFonts w:asciiTheme="majorBidi" w:hAnsiTheme="majorBidi" w:cstheme="majorBidi"/>
          <w:noProof/>
        </w:rPr>
        <w:drawing>
          <wp:inline distT="0" distB="0" distL="0" distR="0" wp14:anchorId="1552BFB5" wp14:editId="7BA47DD3">
            <wp:extent cx="5943600" cy="3282950"/>
            <wp:effectExtent l="0" t="0" r="0" b="0"/>
            <wp:docPr id="2551531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53151" name="Picture 25515315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282950"/>
                    </a:xfrm>
                    <a:prstGeom prst="rect">
                      <a:avLst/>
                    </a:prstGeom>
                  </pic:spPr>
                </pic:pic>
              </a:graphicData>
            </a:graphic>
          </wp:inline>
        </w:drawing>
      </w:r>
    </w:p>
    <w:p w14:paraId="6E7CB425" w14:textId="0F4AA24B" w:rsidR="00666E14" w:rsidRDefault="00666E14" w:rsidP="00666E14">
      <w:pPr>
        <w:jc w:val="both"/>
        <w:rPr>
          <w:rFonts w:asciiTheme="majorBidi" w:hAnsiTheme="majorBidi" w:cstheme="majorBidi"/>
          <w:rtl/>
        </w:rPr>
      </w:pPr>
      <w:r w:rsidRPr="00666E14">
        <w:rPr>
          <w:rFonts w:asciiTheme="majorBidi" w:hAnsiTheme="majorBidi" w:cstheme="majorBidi"/>
        </w:rPr>
        <w:t xml:space="preserve">Figure S5. t-SNE plot showing the distribution of cancer types based on p62-associated hallmark pathway enrichment profiles. Each dot represents a cancer type, positioned according to the similarity of the pathway correlation patterns with </w:t>
      </w:r>
      <w:r w:rsidRPr="002C4F4C">
        <w:rPr>
          <w:rFonts w:asciiTheme="majorBidi" w:hAnsiTheme="majorBidi" w:cstheme="majorBidi"/>
          <w:i/>
          <w:iCs/>
        </w:rPr>
        <w:t>p62</w:t>
      </w:r>
      <w:r w:rsidRPr="00666E14">
        <w:rPr>
          <w:rFonts w:asciiTheme="majorBidi" w:hAnsiTheme="majorBidi" w:cstheme="majorBidi"/>
        </w:rPr>
        <w:t xml:space="preserve"> expression. Cancers with weak or minimal pathway associations and lower sample sizes</w:t>
      </w:r>
      <w:r>
        <w:rPr>
          <w:rFonts w:asciiTheme="majorBidi" w:hAnsiTheme="majorBidi" w:cstheme="majorBidi"/>
        </w:rPr>
        <w:t xml:space="preserve">, </w:t>
      </w:r>
      <w:r w:rsidRPr="00666E14">
        <w:rPr>
          <w:rFonts w:asciiTheme="majorBidi" w:hAnsiTheme="majorBidi" w:cstheme="majorBidi"/>
        </w:rPr>
        <w:t xml:space="preserve">including CHOL, KICH, DLBC, MESO, and </w:t>
      </w:r>
      <w:r w:rsidRPr="00666E14">
        <w:rPr>
          <w:rFonts w:asciiTheme="majorBidi" w:hAnsiTheme="majorBidi" w:cstheme="majorBidi"/>
        </w:rPr>
        <w:lastRenderedPageBreak/>
        <w:t>THYM</w:t>
      </w:r>
      <w:r>
        <w:rPr>
          <w:rFonts w:asciiTheme="majorBidi" w:hAnsiTheme="majorBidi" w:cstheme="majorBidi"/>
        </w:rPr>
        <w:t xml:space="preserve">, </w:t>
      </w:r>
      <w:r w:rsidRPr="00666E14">
        <w:rPr>
          <w:rFonts w:asciiTheme="majorBidi" w:hAnsiTheme="majorBidi" w:cstheme="majorBidi"/>
        </w:rPr>
        <w:t>clustered separately and were excluded from downstream clustering analyses (Fig. 4B) to minimize sample size bias.</w:t>
      </w:r>
    </w:p>
    <w:p w14:paraId="6FBD0350" w14:textId="77777777" w:rsidR="002C4F4C" w:rsidRDefault="002C4F4C" w:rsidP="00666E14">
      <w:pPr>
        <w:jc w:val="both"/>
        <w:rPr>
          <w:rFonts w:asciiTheme="majorBidi" w:hAnsiTheme="majorBidi" w:cstheme="majorBidi"/>
          <w:rtl/>
        </w:rPr>
      </w:pPr>
    </w:p>
    <w:p w14:paraId="28E9559B" w14:textId="5589C229" w:rsidR="002C4F4C" w:rsidRPr="00666E14" w:rsidRDefault="002C4F4C" w:rsidP="00666E14">
      <w:pPr>
        <w:jc w:val="both"/>
        <w:rPr>
          <w:rFonts w:asciiTheme="majorBidi" w:hAnsiTheme="majorBidi" w:cstheme="majorBidi"/>
        </w:rPr>
      </w:pPr>
      <w:r>
        <w:rPr>
          <w:rFonts w:asciiTheme="majorBidi" w:hAnsiTheme="majorBidi" w:cstheme="majorBidi"/>
          <w:noProof/>
        </w:rPr>
        <w:drawing>
          <wp:inline distT="0" distB="0" distL="0" distR="0" wp14:anchorId="20EA79B6" wp14:editId="26E889E9">
            <wp:extent cx="5943600" cy="5403215"/>
            <wp:effectExtent l="0" t="0" r="0" b="0"/>
            <wp:docPr id="13053767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76763" name="Picture 1305376763"/>
                    <pic:cNvPicPr/>
                  </pic:nvPicPr>
                  <pic:blipFill>
                    <a:blip r:embed="rId9">
                      <a:extLst>
                        <a:ext uri="{28A0092B-C50C-407E-A947-70E740481C1C}">
                          <a14:useLocalDpi xmlns:a14="http://schemas.microsoft.com/office/drawing/2010/main" val="0"/>
                        </a:ext>
                      </a:extLst>
                    </a:blip>
                    <a:stretch>
                      <a:fillRect/>
                    </a:stretch>
                  </pic:blipFill>
                  <pic:spPr>
                    <a:xfrm>
                      <a:off x="0" y="0"/>
                      <a:ext cx="5943600" cy="5403215"/>
                    </a:xfrm>
                    <a:prstGeom prst="rect">
                      <a:avLst/>
                    </a:prstGeom>
                  </pic:spPr>
                </pic:pic>
              </a:graphicData>
            </a:graphic>
          </wp:inline>
        </w:drawing>
      </w:r>
    </w:p>
    <w:p w14:paraId="211B603C" w14:textId="1A1BE418" w:rsidR="00D16F94" w:rsidRDefault="00666E14" w:rsidP="00666E14">
      <w:pPr>
        <w:jc w:val="both"/>
        <w:rPr>
          <w:rFonts w:asciiTheme="majorBidi" w:hAnsiTheme="majorBidi" w:cstheme="majorBidi"/>
        </w:rPr>
      </w:pPr>
      <w:r w:rsidRPr="00666E14">
        <w:rPr>
          <w:rFonts w:asciiTheme="majorBidi" w:hAnsiTheme="majorBidi" w:cstheme="majorBidi"/>
        </w:rPr>
        <w:t xml:space="preserve">Figure S6. Correlation between p62 expression and cancer stemness scores in different cancer types. Scatter plots showing the Spearman correlation between </w:t>
      </w:r>
      <w:r w:rsidRPr="002C4F4C">
        <w:rPr>
          <w:rFonts w:asciiTheme="majorBidi" w:hAnsiTheme="majorBidi" w:cstheme="majorBidi"/>
          <w:i/>
          <w:iCs/>
        </w:rPr>
        <w:t>p62</w:t>
      </w:r>
      <w:r w:rsidRPr="00666E14">
        <w:rPr>
          <w:rFonts w:asciiTheme="majorBidi" w:hAnsiTheme="majorBidi" w:cstheme="majorBidi"/>
        </w:rPr>
        <w:t xml:space="preserve"> expression and stemness scores derived from DNA methylation (DNAss) data. </w:t>
      </w:r>
    </w:p>
    <w:p w14:paraId="3B0A2CA2" w14:textId="105F1A5F" w:rsidR="009A5133" w:rsidRDefault="009A5133" w:rsidP="00666E14">
      <w:pPr>
        <w:jc w:val="both"/>
        <w:rPr>
          <w:rFonts w:asciiTheme="majorBidi" w:hAnsiTheme="majorBidi" w:cstheme="majorBidi"/>
        </w:rPr>
      </w:pPr>
    </w:p>
    <w:p w14:paraId="43DAC894" w14:textId="77777777" w:rsidR="009A5133" w:rsidRDefault="009A5133" w:rsidP="009A5133">
      <w:pPr>
        <w:rPr>
          <w:rFonts w:asciiTheme="majorBidi" w:hAnsiTheme="majorBidi" w:cstheme="majorBidi"/>
        </w:rPr>
      </w:pPr>
    </w:p>
    <w:p w14:paraId="306A670E" w14:textId="77777777" w:rsidR="009A5133" w:rsidRDefault="009A5133" w:rsidP="009A5133">
      <w:pPr>
        <w:rPr>
          <w:rFonts w:asciiTheme="majorBidi" w:hAnsiTheme="majorBidi" w:cstheme="majorBidi"/>
        </w:rPr>
      </w:pPr>
    </w:p>
    <w:p w14:paraId="12C9B724" w14:textId="77777777" w:rsidR="009A5133" w:rsidRDefault="009A5133" w:rsidP="009A5133">
      <w:pPr>
        <w:rPr>
          <w:rFonts w:asciiTheme="majorBidi" w:hAnsiTheme="majorBidi" w:cstheme="majorBidi"/>
        </w:rPr>
      </w:pPr>
    </w:p>
    <w:p w14:paraId="59809510" w14:textId="77777777" w:rsidR="009A5133" w:rsidRDefault="009A5133" w:rsidP="009A5133">
      <w:pPr>
        <w:rPr>
          <w:rFonts w:asciiTheme="majorBidi" w:hAnsiTheme="majorBidi" w:cstheme="majorBidi"/>
        </w:rPr>
      </w:pPr>
    </w:p>
    <w:p w14:paraId="2B8367FC" w14:textId="2307C8A8" w:rsidR="009A5133" w:rsidRDefault="009A5133" w:rsidP="009A5133">
      <w:pPr>
        <w:rPr>
          <w:rFonts w:asciiTheme="majorBidi" w:hAnsiTheme="majorBidi" w:cstheme="majorBidi"/>
        </w:rPr>
      </w:pPr>
      <w:r>
        <w:rPr>
          <w:rFonts w:asciiTheme="majorBidi" w:hAnsiTheme="majorBidi" w:cstheme="majorBidi"/>
          <w:noProof/>
        </w:rPr>
        <w:drawing>
          <wp:anchor distT="0" distB="0" distL="114300" distR="114300" simplePos="0" relativeHeight="251659264" behindDoc="1" locked="0" layoutInCell="1" allowOverlap="1" wp14:anchorId="1AE59F35" wp14:editId="207C091D">
            <wp:simplePos x="0" y="0"/>
            <wp:positionH relativeFrom="column">
              <wp:posOffset>-236220</wp:posOffset>
            </wp:positionH>
            <wp:positionV relativeFrom="paragraph">
              <wp:posOffset>45720</wp:posOffset>
            </wp:positionV>
            <wp:extent cx="6578600" cy="3947160"/>
            <wp:effectExtent l="0" t="0" r="0" b="0"/>
            <wp:wrapTight wrapText="bothSides">
              <wp:wrapPolygon edited="0">
                <wp:start x="0" y="0"/>
                <wp:lineTo x="0" y="21475"/>
                <wp:lineTo x="21517" y="21475"/>
                <wp:lineTo x="215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78600" cy="3947160"/>
                    </a:xfrm>
                    <a:prstGeom prst="rect">
                      <a:avLst/>
                    </a:prstGeom>
                  </pic:spPr>
                </pic:pic>
              </a:graphicData>
            </a:graphic>
          </wp:anchor>
        </w:drawing>
      </w:r>
    </w:p>
    <w:p w14:paraId="7CA9977D" w14:textId="281E246A" w:rsidR="009A5133" w:rsidRDefault="009A5133" w:rsidP="009A5133">
      <w:pPr>
        <w:rPr>
          <w:rFonts w:asciiTheme="majorBidi" w:hAnsiTheme="majorBidi" w:cstheme="majorBidi"/>
        </w:rPr>
      </w:pPr>
    </w:p>
    <w:p w14:paraId="2767B30D" w14:textId="52B61B11" w:rsidR="009A5133" w:rsidRPr="009A5133" w:rsidRDefault="009A5133" w:rsidP="00223551">
      <w:pPr>
        <w:jc w:val="both"/>
        <w:rPr>
          <w:rFonts w:asciiTheme="majorBidi" w:hAnsiTheme="majorBidi" w:cstheme="majorBidi"/>
        </w:rPr>
      </w:pPr>
      <w:r w:rsidRPr="00666E14">
        <w:rPr>
          <w:rFonts w:asciiTheme="majorBidi" w:hAnsiTheme="majorBidi" w:cstheme="majorBidi"/>
        </w:rPr>
        <w:t>Figure S</w:t>
      </w:r>
      <w:r>
        <w:rPr>
          <w:rFonts w:asciiTheme="majorBidi" w:hAnsiTheme="majorBidi" w:cstheme="majorBidi"/>
        </w:rPr>
        <w:t>7</w:t>
      </w:r>
      <w:r w:rsidRPr="00666E14">
        <w:rPr>
          <w:rFonts w:asciiTheme="majorBidi" w:hAnsiTheme="majorBidi" w:cstheme="majorBidi"/>
        </w:rPr>
        <w:t xml:space="preserve">. </w:t>
      </w:r>
      <w:r w:rsidRPr="009A5133">
        <w:rPr>
          <w:rFonts w:asciiTheme="majorBidi" w:hAnsiTheme="majorBidi" w:cstheme="majorBidi"/>
        </w:rPr>
        <w:t>Validation of docking protocol using the CDK2–staurosporine complex (PDB ID: 1AQ1).</w:t>
      </w:r>
      <w:r>
        <w:rPr>
          <w:rFonts w:asciiTheme="majorBidi" w:hAnsiTheme="majorBidi" w:cstheme="majorBidi"/>
        </w:rPr>
        <w:t xml:space="preserve"> A) </w:t>
      </w:r>
      <w:r w:rsidRPr="009A5133">
        <w:rPr>
          <w:rFonts w:asciiTheme="majorBidi" w:hAnsiTheme="majorBidi" w:cstheme="majorBidi"/>
        </w:rPr>
        <w:t xml:space="preserve">Three-dimensional representation of the CDK2–staurosporine structure, showing the native crystallographic ligand (red) and the redocked ligand obtained from </w:t>
      </w:r>
      <w:proofErr w:type="spellStart"/>
      <w:r w:rsidRPr="009A5133">
        <w:rPr>
          <w:rFonts w:asciiTheme="majorBidi" w:hAnsiTheme="majorBidi" w:cstheme="majorBidi"/>
        </w:rPr>
        <w:t>AutoDock</w:t>
      </w:r>
      <w:proofErr w:type="spellEnd"/>
      <w:r w:rsidRPr="009A5133">
        <w:rPr>
          <w:rFonts w:asciiTheme="majorBidi" w:hAnsiTheme="majorBidi" w:cstheme="majorBidi"/>
        </w:rPr>
        <w:t xml:space="preserve"> Vina (pink). The close overlap between the two confirms accurate reproduction of the experimental binding pose.</w:t>
      </w:r>
      <w:r>
        <w:rPr>
          <w:rFonts w:asciiTheme="majorBidi" w:hAnsiTheme="majorBidi" w:cstheme="majorBidi"/>
        </w:rPr>
        <w:t xml:space="preserve"> B</w:t>
      </w:r>
      <w:r w:rsidR="00223551">
        <w:rPr>
          <w:rFonts w:asciiTheme="majorBidi" w:hAnsiTheme="majorBidi" w:cstheme="majorBidi"/>
        </w:rPr>
        <w:t xml:space="preserve">) </w:t>
      </w:r>
      <w:r w:rsidRPr="009A5133">
        <w:rPr>
          <w:rFonts w:asciiTheme="majorBidi" w:hAnsiTheme="majorBidi" w:cstheme="majorBidi"/>
        </w:rPr>
        <w:t xml:space="preserve">Two-dimensional interaction maps of the native (top) and </w:t>
      </w:r>
      <w:r w:rsidR="00223551">
        <w:rPr>
          <w:rFonts w:asciiTheme="majorBidi" w:hAnsiTheme="majorBidi" w:cstheme="majorBidi"/>
        </w:rPr>
        <w:t xml:space="preserve">C) </w:t>
      </w:r>
      <w:r w:rsidRPr="009A5133">
        <w:rPr>
          <w:rFonts w:asciiTheme="majorBidi" w:hAnsiTheme="majorBidi" w:cstheme="majorBidi"/>
        </w:rPr>
        <w:t>redocked staurosporine–CDK2 complexes, illustrating key interactions. The predicted binding affinity for the redocked complex was –12.2 kcal/mol, demonstrating high fidelity of the docking workflow.</w:t>
      </w:r>
    </w:p>
    <w:sectPr w:rsidR="009A5133" w:rsidRPr="009A51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E14"/>
    <w:rsid w:val="001B4C8B"/>
    <w:rsid w:val="001C49D6"/>
    <w:rsid w:val="001C4C71"/>
    <w:rsid w:val="00223551"/>
    <w:rsid w:val="002C4F4C"/>
    <w:rsid w:val="00325F19"/>
    <w:rsid w:val="003B383C"/>
    <w:rsid w:val="00455030"/>
    <w:rsid w:val="00581193"/>
    <w:rsid w:val="00666E14"/>
    <w:rsid w:val="00682D9F"/>
    <w:rsid w:val="00775662"/>
    <w:rsid w:val="00987A3A"/>
    <w:rsid w:val="00997EF2"/>
    <w:rsid w:val="009A5133"/>
    <w:rsid w:val="00A65AA1"/>
    <w:rsid w:val="00A93790"/>
    <w:rsid w:val="00B83A05"/>
    <w:rsid w:val="00C07697"/>
    <w:rsid w:val="00C209B1"/>
    <w:rsid w:val="00D16F94"/>
    <w:rsid w:val="00E471BA"/>
    <w:rsid w:val="00E763E4"/>
    <w:rsid w:val="00EB10ED"/>
    <w:rsid w:val="00ED31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335426"/>
  <w15:chartTrackingRefBased/>
  <w15:docId w15:val="{3580882C-A55D-43F3-A4F2-96B2F97B7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6E1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66E1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66E1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66E1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66E1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66E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6E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6E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6E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E1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66E1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66E1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66E1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66E1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66E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6E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6E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6E14"/>
    <w:rPr>
      <w:rFonts w:eastAsiaTheme="majorEastAsia" w:cstheme="majorBidi"/>
      <w:color w:val="272727" w:themeColor="text1" w:themeTint="D8"/>
    </w:rPr>
  </w:style>
  <w:style w:type="paragraph" w:styleId="Title">
    <w:name w:val="Title"/>
    <w:basedOn w:val="Normal"/>
    <w:next w:val="Normal"/>
    <w:link w:val="TitleChar"/>
    <w:uiPriority w:val="10"/>
    <w:qFormat/>
    <w:rsid w:val="00666E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6E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6E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6E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6E14"/>
    <w:pPr>
      <w:spacing w:before="160"/>
      <w:jc w:val="center"/>
    </w:pPr>
    <w:rPr>
      <w:i/>
      <w:iCs/>
      <w:color w:val="404040" w:themeColor="text1" w:themeTint="BF"/>
    </w:rPr>
  </w:style>
  <w:style w:type="character" w:customStyle="1" w:styleId="QuoteChar">
    <w:name w:val="Quote Char"/>
    <w:basedOn w:val="DefaultParagraphFont"/>
    <w:link w:val="Quote"/>
    <w:uiPriority w:val="29"/>
    <w:rsid w:val="00666E14"/>
    <w:rPr>
      <w:i/>
      <w:iCs/>
      <w:color w:val="404040" w:themeColor="text1" w:themeTint="BF"/>
    </w:rPr>
  </w:style>
  <w:style w:type="paragraph" w:styleId="ListParagraph">
    <w:name w:val="List Paragraph"/>
    <w:basedOn w:val="Normal"/>
    <w:uiPriority w:val="34"/>
    <w:qFormat/>
    <w:rsid w:val="00666E14"/>
    <w:pPr>
      <w:ind w:left="720"/>
      <w:contextualSpacing/>
    </w:pPr>
  </w:style>
  <w:style w:type="character" w:styleId="IntenseEmphasis">
    <w:name w:val="Intense Emphasis"/>
    <w:basedOn w:val="DefaultParagraphFont"/>
    <w:uiPriority w:val="21"/>
    <w:qFormat/>
    <w:rsid w:val="00666E14"/>
    <w:rPr>
      <w:i/>
      <w:iCs/>
      <w:color w:val="2F5496" w:themeColor="accent1" w:themeShade="BF"/>
    </w:rPr>
  </w:style>
  <w:style w:type="paragraph" w:styleId="IntenseQuote">
    <w:name w:val="Intense Quote"/>
    <w:basedOn w:val="Normal"/>
    <w:next w:val="Normal"/>
    <w:link w:val="IntenseQuoteChar"/>
    <w:uiPriority w:val="30"/>
    <w:qFormat/>
    <w:rsid w:val="00666E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66E14"/>
    <w:rPr>
      <w:i/>
      <w:iCs/>
      <w:color w:val="2F5496" w:themeColor="accent1" w:themeShade="BF"/>
    </w:rPr>
  </w:style>
  <w:style w:type="character" w:styleId="IntenseReference">
    <w:name w:val="Intense Reference"/>
    <w:basedOn w:val="DefaultParagraphFont"/>
    <w:uiPriority w:val="32"/>
    <w:qFormat/>
    <w:rsid w:val="00666E14"/>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7517F83-E3FC-4B10-918F-5D2948DFE50F}">
  <we:reference id="wa200001361" version="2.129.3.0" store="en-US" storeType="OMEX"/>
  <we:alternateReferences>
    <we:reference id="wa200001361" version="2.129.3.0" store="en-US" storeType="OMEX"/>
  </we:alternateReferences>
  <we:properties>
    <we:property name="paperpal-document-id" value="&quot;ba28f521-d265-4f77-9734-9eed8c76a6b4&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TotalTime>
  <Pages>6</Pages>
  <Words>516</Words>
  <Characters>2947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Server</dc:creator>
  <cp:keywords/>
  <dc:description/>
  <cp:lastModifiedBy>USER</cp:lastModifiedBy>
  <cp:revision>2</cp:revision>
  <cp:lastPrinted>2025-06-09T17:14:00Z</cp:lastPrinted>
  <dcterms:created xsi:type="dcterms:W3CDTF">2025-10-29T16:14:00Z</dcterms:created>
  <dcterms:modified xsi:type="dcterms:W3CDTF">2025-10-29T16:14:00Z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e12d801f-fa1e-4fa0-b8c8-ea32a84f2a61</vt:lpwstr>
  </property>
</Properties>
</file>