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0BEC" w14:textId="77777777" w:rsidR="00BC163C" w:rsidRDefault="00BC163C" w:rsidP="00BC163C">
      <w:pPr>
        <w:rPr>
          <w:rFonts w:ascii="Times New Roman" w:hAnsi="Times New Roman" w:cs="Times New Roman"/>
          <w:b/>
          <w:bCs/>
        </w:rPr>
      </w:pPr>
      <w:r w:rsidRPr="00574F19">
        <w:rPr>
          <w:rFonts w:ascii="Times New Roman" w:hAnsi="Times New Roman" w:cs="Times New Roman"/>
          <w:b/>
          <w:bCs/>
        </w:rPr>
        <w:t>Supplementary Material</w:t>
      </w:r>
    </w:p>
    <w:p w14:paraId="10356395" w14:textId="1D6CAD57" w:rsidR="00BF349B" w:rsidRPr="00067AE5" w:rsidRDefault="00BF349B" w:rsidP="00BC163C">
      <w:r w:rsidRPr="00067AE5">
        <w:rPr>
          <w:rFonts w:ascii="Times New Roman" w:hAnsi="Times New Roman" w:cs="Times New Roman"/>
          <w:b/>
          <w:bCs/>
        </w:rPr>
        <w:t>Supplementary Table 1</w:t>
      </w:r>
      <w:r w:rsidRPr="00067AE5">
        <w:rPr>
          <w:rFonts w:ascii="Times New Roman" w:hAnsi="Times New Roman" w:cs="Times New Roman"/>
        </w:rPr>
        <w:t xml:space="preserve">: The number of 33 tumour samples and corresponding </w:t>
      </w:r>
      <w:proofErr w:type="spellStart"/>
      <w:r w:rsidRPr="00067AE5">
        <w:rPr>
          <w:rFonts w:ascii="Times New Roman" w:hAnsi="Times New Roman" w:cs="Times New Roman"/>
        </w:rPr>
        <w:t>GTEx</w:t>
      </w:r>
      <w:proofErr w:type="spellEnd"/>
      <w:r w:rsidRPr="00067AE5">
        <w:rPr>
          <w:rFonts w:ascii="Times New Roman" w:hAnsi="Times New Roman" w:cs="Times New Roman"/>
        </w:rPr>
        <w:t xml:space="preserve"> control samples explored in this study.</w:t>
      </w:r>
    </w:p>
    <w:p w14:paraId="598D1E7B" w14:textId="77777777" w:rsidR="00BC163C" w:rsidRPr="006C528A" w:rsidRDefault="00BC163C" w:rsidP="00BC163C">
      <w:pPr>
        <w:rPr>
          <w:rFonts w:ascii="Times New Roman" w:hAnsi="Times New Roman" w:cs="Times New Roman"/>
        </w:rPr>
      </w:pPr>
      <w:r w:rsidRPr="006C528A">
        <w:rPr>
          <w:rFonts w:ascii="Times New Roman" w:hAnsi="Times New Roman" w:cs="Times New Roman"/>
          <w:b/>
          <w:bCs/>
        </w:rPr>
        <w:t>Supplementary Figure 1: Survival difference analysis. A-G</w:t>
      </w:r>
      <w:r w:rsidRPr="006C528A">
        <w:rPr>
          <w:rFonts w:ascii="Times New Roman" w:hAnsi="Times New Roman" w:cs="Times New Roman"/>
        </w:rPr>
        <w:t xml:space="preserve"> K‒M survival analysis of pseudouridine-related pathways in LUAD, BRCA, LGG, LUSC, PAAD, and SARC based on OS.</w:t>
      </w:r>
    </w:p>
    <w:p w14:paraId="15D739A7" w14:textId="77777777" w:rsidR="00BC163C" w:rsidRPr="006C528A" w:rsidRDefault="00BC163C" w:rsidP="00BC163C">
      <w:pPr>
        <w:rPr>
          <w:rFonts w:ascii="Times New Roman" w:hAnsi="Times New Roman" w:cs="Times New Roman"/>
          <w:b/>
          <w:bCs/>
        </w:rPr>
      </w:pPr>
      <w:r w:rsidRPr="00574F19">
        <w:rPr>
          <w:rFonts w:ascii="Times New Roman" w:hAnsi="Times New Roman" w:cs="Times New Roman"/>
          <w:b/>
          <w:bCs/>
        </w:rPr>
        <w:t xml:space="preserve">Supplementary Figure 2: Differences in the expression patterns of PUSs in </w:t>
      </w:r>
      <w:proofErr w:type="spellStart"/>
      <w:r w:rsidRPr="00574F19">
        <w:rPr>
          <w:rFonts w:ascii="Times New Roman" w:hAnsi="Times New Roman" w:cs="Times New Roman"/>
          <w:b/>
          <w:bCs/>
        </w:rPr>
        <w:t>tumor</w:t>
      </w:r>
      <w:proofErr w:type="spellEnd"/>
      <w:r w:rsidRPr="00574F19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574F19">
        <w:rPr>
          <w:rFonts w:ascii="Times New Roman" w:hAnsi="Times New Roman" w:cs="Times New Roman"/>
          <w:b/>
          <w:bCs/>
        </w:rPr>
        <w:t>paracancerous</w:t>
      </w:r>
      <w:proofErr w:type="spellEnd"/>
      <w:r w:rsidRPr="00574F19">
        <w:rPr>
          <w:rFonts w:ascii="Times New Roman" w:hAnsi="Times New Roman" w:cs="Times New Roman"/>
          <w:b/>
          <w:bCs/>
        </w:rPr>
        <w:t xml:space="preserve"> tissues. </w:t>
      </w:r>
      <w:r w:rsidRPr="006C528A">
        <w:rPr>
          <w:rFonts w:ascii="Times New Roman" w:hAnsi="Times New Roman" w:cs="Times New Roman"/>
        </w:rPr>
        <w:t xml:space="preserve">Blue represents the gene expression values in the positive difference group, and orange represents the expression values in the </w:t>
      </w:r>
      <w:proofErr w:type="spellStart"/>
      <w:r w:rsidRPr="006C528A">
        <w:rPr>
          <w:rFonts w:ascii="Times New Roman" w:hAnsi="Times New Roman" w:cs="Times New Roman"/>
        </w:rPr>
        <w:t>tumor</w:t>
      </w:r>
      <w:proofErr w:type="spellEnd"/>
      <w:r w:rsidRPr="006C528A">
        <w:rPr>
          <w:rFonts w:ascii="Times New Roman" w:hAnsi="Times New Roman" w:cs="Times New Roman"/>
        </w:rPr>
        <w:t xml:space="preserve"> tissues. </w:t>
      </w:r>
      <w:r w:rsidRPr="00E5485A">
        <w:rPr>
          <w:rFonts w:ascii="Times New Roman" w:hAnsi="Times New Roman" w:cs="Times New Roman"/>
          <w:b/>
          <w:bCs/>
        </w:rPr>
        <w:t>A-F</w:t>
      </w:r>
      <w:r w:rsidRPr="006C528A">
        <w:rPr>
          <w:rFonts w:ascii="Times New Roman" w:hAnsi="Times New Roman" w:cs="Times New Roman"/>
        </w:rPr>
        <w:t xml:space="preserve"> are denoted as PUS3, PUS1, PUS10, RPUSD4, TRUB1, and TRUB2, respectively.</w:t>
      </w:r>
    </w:p>
    <w:p w14:paraId="7CCB791B" w14:textId="48200BB1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>Supplementary Figure 3: Genomic aberrations in PUSs.</w:t>
      </w:r>
      <w:r w:rsidRPr="00574F19">
        <w:rPr>
          <w:rFonts w:ascii="Times New Roman" w:hAnsi="Times New Roman" w:cs="Times New Roman"/>
        </w:rPr>
        <w:t xml:space="preserve"> </w:t>
      </w:r>
      <w:r w:rsidRPr="00E5485A">
        <w:rPr>
          <w:rFonts w:ascii="Times New Roman" w:hAnsi="Times New Roman" w:cs="Times New Roman"/>
          <w:b/>
          <w:bCs/>
        </w:rPr>
        <w:t>A</w:t>
      </w:r>
      <w:r w:rsidRPr="00574F19">
        <w:rPr>
          <w:rFonts w:ascii="Times New Roman" w:hAnsi="Times New Roman" w:cs="Times New Roman"/>
        </w:rPr>
        <w:t xml:space="preserve"> Each pie chart represents the CNV composition of each PUS in one </w:t>
      </w:r>
      <w:proofErr w:type="spellStart"/>
      <w:r w:rsidRPr="00574F19">
        <w:rPr>
          <w:rFonts w:ascii="Times New Roman" w:hAnsi="Times New Roman" w:cs="Times New Roman"/>
        </w:rPr>
        <w:t>tumor</w:t>
      </w:r>
      <w:proofErr w:type="spellEnd"/>
      <w:r w:rsidRPr="00574F19">
        <w:rPr>
          <w:rFonts w:ascii="Times New Roman" w:hAnsi="Times New Roman" w:cs="Times New Roman"/>
        </w:rPr>
        <w:t xml:space="preserve">. Different </w:t>
      </w:r>
      <w:proofErr w:type="spellStart"/>
      <w:r w:rsidRPr="00574F19">
        <w:rPr>
          <w:rFonts w:ascii="Times New Roman" w:hAnsi="Times New Roman" w:cs="Times New Roman"/>
        </w:rPr>
        <w:t>colors</w:t>
      </w:r>
      <w:proofErr w:type="spellEnd"/>
      <w:r w:rsidRPr="00574F19">
        <w:rPr>
          <w:rFonts w:ascii="Times New Roman" w:hAnsi="Times New Roman" w:cs="Times New Roman"/>
        </w:rPr>
        <w:t xml:space="preserve"> represent the percentage of different types of mutations. </w:t>
      </w:r>
      <w:proofErr w:type="spellStart"/>
      <w:r w:rsidRPr="00574F19">
        <w:rPr>
          <w:rFonts w:ascii="Times New Roman" w:hAnsi="Times New Roman" w:cs="Times New Roman"/>
        </w:rPr>
        <w:t>Hete</w:t>
      </w:r>
      <w:proofErr w:type="spellEnd"/>
      <w:r w:rsidRPr="00574F19">
        <w:rPr>
          <w:rFonts w:ascii="Times New Roman" w:hAnsi="Times New Roman" w:cs="Times New Roman"/>
        </w:rPr>
        <w:t xml:space="preserve"> amp. and </w:t>
      </w:r>
      <w:proofErr w:type="spellStart"/>
      <w:r w:rsidRPr="00574F19">
        <w:rPr>
          <w:rFonts w:ascii="Times New Roman" w:hAnsi="Times New Roman" w:cs="Times New Roman"/>
        </w:rPr>
        <w:t>Hete</w:t>
      </w:r>
      <w:proofErr w:type="spellEnd"/>
      <w:r w:rsidRPr="00574F19">
        <w:rPr>
          <w:rFonts w:ascii="Times New Roman" w:hAnsi="Times New Roman" w:cs="Times New Roman"/>
        </w:rPr>
        <w:t xml:space="preserve"> </w:t>
      </w:r>
      <w:proofErr w:type="spellStart"/>
      <w:r w:rsidRPr="00574F19">
        <w:rPr>
          <w:rFonts w:ascii="Times New Roman" w:hAnsi="Times New Roman" w:cs="Times New Roman"/>
        </w:rPr>
        <w:t>dele</w:t>
      </w:r>
      <w:proofErr w:type="spellEnd"/>
      <w:r w:rsidRPr="00574F19">
        <w:rPr>
          <w:rFonts w:ascii="Times New Roman" w:hAnsi="Times New Roman" w:cs="Times New Roman"/>
        </w:rPr>
        <w:t xml:space="preserve">. denote samples with copy number heterozygous amplification or deletion. Homo amp and Homo dele denote samples with copy number homozygous amplification or deletion. </w:t>
      </w:r>
      <w:r w:rsidRPr="00E5485A">
        <w:rPr>
          <w:rFonts w:ascii="Times New Roman" w:hAnsi="Times New Roman" w:cs="Times New Roman"/>
          <w:b/>
          <w:bCs/>
        </w:rPr>
        <w:t>B</w:t>
      </w:r>
      <w:r w:rsidRPr="00574F19">
        <w:rPr>
          <w:rFonts w:ascii="Times New Roman" w:hAnsi="Times New Roman" w:cs="Times New Roman"/>
        </w:rPr>
        <w:t xml:space="preserve"> Waterfalls showing mutations in UCEC for 8 </w:t>
      </w:r>
      <w:proofErr w:type="gramStart"/>
      <w:r w:rsidRPr="00574F19">
        <w:rPr>
          <w:rFonts w:ascii="Times New Roman" w:hAnsi="Times New Roman" w:cs="Times New Roman"/>
        </w:rPr>
        <w:t>PUSs</w:t>
      </w:r>
      <w:proofErr w:type="gramEnd"/>
      <w:r w:rsidRPr="00574F19">
        <w:rPr>
          <w:rFonts w:ascii="Times New Roman" w:hAnsi="Times New Roman" w:cs="Times New Roman"/>
        </w:rPr>
        <w:t xml:space="preserve">. </w:t>
      </w:r>
      <w:r w:rsidRPr="00E5485A">
        <w:rPr>
          <w:rFonts w:ascii="Times New Roman" w:hAnsi="Times New Roman" w:cs="Times New Roman"/>
          <w:b/>
          <w:bCs/>
        </w:rPr>
        <w:t>C</w:t>
      </w:r>
      <w:r w:rsidRPr="00574F19">
        <w:rPr>
          <w:rFonts w:ascii="Times New Roman" w:hAnsi="Times New Roman" w:cs="Times New Roman"/>
        </w:rPr>
        <w:t xml:space="preserve"> Based on the TCGA dataset, the PUSs methylation differences in </w:t>
      </w:r>
      <w:proofErr w:type="spellStart"/>
      <w:r w:rsidRPr="00574F19">
        <w:rPr>
          <w:rFonts w:ascii="Times New Roman" w:hAnsi="Times New Roman" w:cs="Times New Roman"/>
        </w:rPr>
        <w:t>tumor</w:t>
      </w:r>
      <w:proofErr w:type="spellEnd"/>
      <w:r w:rsidRPr="00574F19">
        <w:rPr>
          <w:rFonts w:ascii="Times New Roman" w:hAnsi="Times New Roman" w:cs="Times New Roman"/>
        </w:rPr>
        <w:t xml:space="preserve"> and </w:t>
      </w:r>
      <w:proofErr w:type="spellStart"/>
      <w:r w:rsidRPr="00574F19">
        <w:rPr>
          <w:rFonts w:ascii="Times New Roman" w:hAnsi="Times New Roman" w:cs="Times New Roman"/>
        </w:rPr>
        <w:t>paracancerous</w:t>
      </w:r>
      <w:proofErr w:type="spellEnd"/>
      <w:r w:rsidRPr="00574F19">
        <w:rPr>
          <w:rFonts w:ascii="Times New Roman" w:hAnsi="Times New Roman" w:cs="Times New Roman"/>
        </w:rPr>
        <w:t xml:space="preserve"> tissues. </w:t>
      </w:r>
      <w:proofErr w:type="spellStart"/>
      <w:r w:rsidRPr="00574F19">
        <w:rPr>
          <w:rFonts w:ascii="Times New Roman" w:hAnsi="Times New Roman" w:cs="Times New Roman"/>
        </w:rPr>
        <w:t>Colors</w:t>
      </w:r>
      <w:proofErr w:type="spellEnd"/>
      <w:r w:rsidRPr="00574F19">
        <w:rPr>
          <w:rFonts w:ascii="Times New Roman" w:hAnsi="Times New Roman" w:cs="Times New Roman"/>
        </w:rPr>
        <w:t xml:space="preserve"> represent values for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 xml:space="preserve"> over </w:t>
      </w:r>
      <w:proofErr w:type="spellStart"/>
      <w:r w:rsidRPr="00574F19">
        <w:rPr>
          <w:rFonts w:ascii="Times New Roman" w:hAnsi="Times New Roman" w:cs="Times New Roman"/>
        </w:rPr>
        <w:t>paracancerous</w:t>
      </w:r>
      <w:proofErr w:type="spellEnd"/>
      <w:r w:rsidRPr="00574F19">
        <w:rPr>
          <w:rFonts w:ascii="Times New Roman" w:hAnsi="Times New Roman" w:cs="Times New Roman"/>
        </w:rPr>
        <w:t xml:space="preserve"> tissues. Circles represent FDR values.</w:t>
      </w:r>
      <w:r w:rsidR="003136CE">
        <w:rPr>
          <w:rFonts w:ascii="Times New Roman" w:hAnsi="Times New Roman" w:cs="Times New Roman" w:hint="eastAsia"/>
        </w:rPr>
        <w:t xml:space="preserve"> </w:t>
      </w:r>
      <w:r w:rsidR="003136CE" w:rsidRPr="00067AE5">
        <w:rPr>
          <w:rFonts w:ascii="Times New Roman" w:hAnsi="Times New Roman" w:cs="Times New Roman"/>
          <w:b/>
          <w:bCs/>
        </w:rPr>
        <w:t>D</w:t>
      </w:r>
      <w:r w:rsidR="003136CE">
        <w:rPr>
          <w:rFonts w:ascii="Times New Roman" w:hAnsi="Times New Roman" w:cs="Times New Roman" w:hint="eastAsia"/>
        </w:rPr>
        <w:t xml:space="preserve"> </w:t>
      </w:r>
      <w:r w:rsidR="003136CE" w:rsidRPr="003136CE">
        <w:rPr>
          <w:rFonts w:ascii="Times New Roman" w:hAnsi="Times New Roman" w:cs="Times New Roman"/>
        </w:rPr>
        <w:t xml:space="preserve">Bubble plots demonstrating the correlation between PUSs expression and immune cell infiltration in </w:t>
      </w:r>
      <w:r w:rsidR="003136CE">
        <w:rPr>
          <w:rFonts w:ascii="Times New Roman" w:hAnsi="Times New Roman" w:cs="Times New Roman" w:hint="eastAsia"/>
        </w:rPr>
        <w:t>KIRC</w:t>
      </w:r>
      <w:r w:rsidR="003136CE" w:rsidRPr="003136CE">
        <w:rPr>
          <w:rFonts w:ascii="Times New Roman" w:hAnsi="Times New Roman" w:cs="Times New Roman"/>
        </w:rPr>
        <w:t xml:space="preserve">. The threshold was FDR &lt;= 0.05. </w:t>
      </w:r>
      <w:proofErr w:type="spellStart"/>
      <w:r w:rsidR="003136CE" w:rsidRPr="003136CE">
        <w:rPr>
          <w:rFonts w:ascii="Times New Roman" w:hAnsi="Times New Roman" w:cs="Times New Roman"/>
        </w:rPr>
        <w:t>Colors</w:t>
      </w:r>
      <w:proofErr w:type="spellEnd"/>
      <w:r w:rsidR="003136CE" w:rsidRPr="003136CE">
        <w:rPr>
          <w:rFonts w:ascii="Times New Roman" w:hAnsi="Times New Roman" w:cs="Times New Roman"/>
        </w:rPr>
        <w:t xml:space="preserve"> indicate the magnitude of positive and negative correlations.</w:t>
      </w:r>
    </w:p>
    <w:p w14:paraId="24F1FEEA" w14:textId="77777777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>Supplementary Figure 4:</w:t>
      </w:r>
      <w:r w:rsidRPr="00574F19">
        <w:rPr>
          <w:rFonts w:ascii="Times New Roman" w:hAnsi="Times New Roman" w:cs="Times New Roman"/>
        </w:rPr>
        <w:t xml:space="preserve"> </w:t>
      </w:r>
      <w:r w:rsidRPr="00574F19">
        <w:rPr>
          <w:rFonts w:ascii="Times New Roman" w:hAnsi="Times New Roman" w:cs="Times New Roman"/>
          <w:b/>
          <w:bCs/>
        </w:rPr>
        <w:t xml:space="preserve">Characterization of hallmark gene sets for </w:t>
      </w:r>
      <w:proofErr w:type="spellStart"/>
      <w:r w:rsidRPr="00574F19">
        <w:rPr>
          <w:rFonts w:ascii="Times New Roman" w:hAnsi="Times New Roman" w:cs="Times New Roman"/>
          <w:b/>
          <w:bCs/>
        </w:rPr>
        <w:t>tumor</w:t>
      </w:r>
      <w:proofErr w:type="spellEnd"/>
      <w:r w:rsidRPr="00574F19">
        <w:rPr>
          <w:rFonts w:ascii="Times New Roman" w:hAnsi="Times New Roman" w:cs="Times New Roman"/>
          <w:b/>
          <w:bCs/>
        </w:rPr>
        <w:t xml:space="preserve"> and nontumor tissues (including TCGA and </w:t>
      </w:r>
      <w:proofErr w:type="spellStart"/>
      <w:r w:rsidRPr="00574F19">
        <w:rPr>
          <w:rFonts w:ascii="Times New Roman" w:hAnsi="Times New Roman" w:cs="Times New Roman"/>
          <w:b/>
          <w:bCs/>
        </w:rPr>
        <w:t>GTEx</w:t>
      </w:r>
      <w:proofErr w:type="spellEnd"/>
      <w:r w:rsidRPr="00574F19">
        <w:rPr>
          <w:rFonts w:ascii="Times New Roman" w:hAnsi="Times New Roman" w:cs="Times New Roman"/>
          <w:b/>
          <w:bCs/>
        </w:rPr>
        <w:t xml:space="preserve"> data) using the ssGSEA algorithm.</w:t>
      </w:r>
      <w:r w:rsidRPr="00574F19">
        <w:rPr>
          <w:rFonts w:ascii="Times New Roman" w:hAnsi="Times New Roman" w:cs="Times New Roman"/>
        </w:rPr>
        <w:t xml:space="preserve"> Triangles above and below in each heatmap square indicate the significance and degree of difference (</w:t>
      </w:r>
      <w:proofErr w:type="spellStart"/>
      <w:r w:rsidRPr="00574F19">
        <w:rPr>
          <w:rFonts w:ascii="Times New Roman" w:hAnsi="Times New Roman" w:cs="Times New Roman"/>
        </w:rPr>
        <w:t>tumor</w:t>
      </w:r>
      <w:proofErr w:type="spellEnd"/>
      <w:r w:rsidRPr="00574F19">
        <w:rPr>
          <w:rFonts w:ascii="Times New Roman" w:hAnsi="Times New Roman" w:cs="Times New Roman"/>
        </w:rPr>
        <w:t xml:space="preserve"> vs nontumor), respectively. Thresholds are p values &lt; 0.05 (*p &lt; 0.05; ** p &lt; 0.01; *** p &lt; 0.001)</w:t>
      </w:r>
    </w:p>
    <w:p w14:paraId="72CD2574" w14:textId="77777777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 xml:space="preserve">Supplementary Figure 5: Construct pseudouridine signature model and TP53 state. </w:t>
      </w:r>
      <w:r w:rsidRPr="00E5485A">
        <w:rPr>
          <w:rFonts w:ascii="Times New Roman" w:hAnsi="Times New Roman" w:cs="Times New Roman"/>
          <w:b/>
          <w:bCs/>
        </w:rPr>
        <w:t>A</w:t>
      </w:r>
      <w:r w:rsidRPr="00574F19">
        <w:rPr>
          <w:rFonts w:ascii="Times New Roman" w:hAnsi="Times New Roman" w:cs="Times New Roman"/>
        </w:rPr>
        <w:t xml:space="preserve"> Heatmap demonstrating the prognostic C-index in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 xml:space="preserve"> based on machine learning algorithms to construct pseudouridine signature model (the remaining 72 results). </w:t>
      </w:r>
      <w:r w:rsidRPr="00E5485A">
        <w:rPr>
          <w:rFonts w:ascii="Times New Roman" w:hAnsi="Times New Roman" w:cs="Times New Roman"/>
          <w:b/>
          <w:bCs/>
        </w:rPr>
        <w:t>B</w:t>
      </w:r>
      <w:r w:rsidRPr="00574F19">
        <w:rPr>
          <w:rFonts w:ascii="Times New Roman" w:hAnsi="Times New Roman" w:cs="Times New Roman"/>
        </w:rPr>
        <w:t xml:space="preserve"> Differences in pseudouridine signature scores between the TP53 mutant and wild-type groups.</w:t>
      </w:r>
    </w:p>
    <w:p w14:paraId="4322DA29" w14:textId="14CEC2AE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>Supplementary Figure 6:</w:t>
      </w:r>
      <w:r w:rsidRPr="00574F19">
        <w:rPr>
          <w:rFonts w:ascii="Times New Roman" w:hAnsi="Times New Roman" w:cs="Times New Roman"/>
        </w:rPr>
        <w:t xml:space="preserve"> Intergroup differences in IC50 values of the chemotherapeutic agent </w:t>
      </w:r>
      <w:proofErr w:type="spellStart"/>
      <w:r w:rsidRPr="00574F19">
        <w:rPr>
          <w:rFonts w:ascii="Times New Roman" w:hAnsi="Times New Roman" w:cs="Times New Roman"/>
        </w:rPr>
        <w:t>camptothecin</w:t>
      </w:r>
      <w:proofErr w:type="spellEnd"/>
      <w:r w:rsidR="00A21E9A">
        <w:rPr>
          <w:rFonts w:ascii="Times New Roman" w:hAnsi="Times New Roman" w:cs="Times New Roman" w:hint="eastAsia"/>
        </w:rPr>
        <w:t xml:space="preserve"> </w:t>
      </w:r>
      <w:r w:rsidR="00A21E9A" w:rsidRPr="009D5FE6">
        <w:rPr>
          <w:rFonts w:ascii="Times New Roman" w:hAnsi="Times New Roman" w:cs="Times New Roman"/>
        </w:rPr>
        <w:t xml:space="preserve">predicted by the </w:t>
      </w:r>
      <w:r w:rsidR="00A21E9A">
        <w:rPr>
          <w:rFonts w:ascii="Times New Roman" w:hAnsi="Times New Roman" w:cs="Times New Roman"/>
        </w:rPr>
        <w:t>‘</w:t>
      </w:r>
      <w:proofErr w:type="spellStart"/>
      <w:r w:rsidR="00A21E9A" w:rsidRPr="009D5FE6">
        <w:rPr>
          <w:rFonts w:ascii="Times New Roman" w:hAnsi="Times New Roman" w:cs="Times New Roman"/>
        </w:rPr>
        <w:t>pRRophetic</w:t>
      </w:r>
      <w:proofErr w:type="spellEnd"/>
      <w:r w:rsidR="00A21E9A">
        <w:rPr>
          <w:rFonts w:ascii="Times New Roman" w:hAnsi="Times New Roman" w:cs="Times New Roman"/>
        </w:rPr>
        <w:t>’</w:t>
      </w:r>
      <w:r w:rsidR="00A21E9A" w:rsidRPr="009D5FE6">
        <w:rPr>
          <w:rFonts w:ascii="Times New Roman" w:hAnsi="Times New Roman" w:cs="Times New Roman"/>
        </w:rPr>
        <w:t xml:space="preserve"> method</w:t>
      </w:r>
      <w:r w:rsidRPr="00574F19">
        <w:rPr>
          <w:rFonts w:ascii="Times New Roman" w:hAnsi="Times New Roman" w:cs="Times New Roman"/>
        </w:rPr>
        <w:t xml:space="preserve"> in different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>.</w:t>
      </w:r>
    </w:p>
    <w:p w14:paraId="2B183D06" w14:textId="134029A8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 xml:space="preserve">Supplementary Figure 7: </w:t>
      </w:r>
      <w:r w:rsidRPr="00574F19">
        <w:rPr>
          <w:rFonts w:ascii="Times New Roman" w:hAnsi="Times New Roman" w:cs="Times New Roman"/>
        </w:rPr>
        <w:t xml:space="preserve">Intergroup differences in IC50 values of the chemotherapeutic agent methotrexate </w:t>
      </w:r>
      <w:r w:rsidR="00A21E9A" w:rsidRPr="009D5FE6">
        <w:rPr>
          <w:rFonts w:ascii="Times New Roman" w:hAnsi="Times New Roman" w:cs="Times New Roman"/>
        </w:rPr>
        <w:t xml:space="preserve">predicted by the </w:t>
      </w:r>
      <w:r w:rsidR="00A21E9A">
        <w:rPr>
          <w:rFonts w:ascii="Times New Roman" w:hAnsi="Times New Roman" w:cs="Times New Roman"/>
        </w:rPr>
        <w:t>‘</w:t>
      </w:r>
      <w:proofErr w:type="spellStart"/>
      <w:r w:rsidR="00A21E9A" w:rsidRPr="009D5FE6">
        <w:rPr>
          <w:rFonts w:ascii="Times New Roman" w:hAnsi="Times New Roman" w:cs="Times New Roman"/>
        </w:rPr>
        <w:t>pRRophetic</w:t>
      </w:r>
      <w:proofErr w:type="spellEnd"/>
      <w:r w:rsidR="00A21E9A">
        <w:rPr>
          <w:rFonts w:ascii="Times New Roman" w:hAnsi="Times New Roman" w:cs="Times New Roman"/>
        </w:rPr>
        <w:t>’</w:t>
      </w:r>
      <w:r w:rsidR="00A21E9A" w:rsidRPr="009D5FE6">
        <w:rPr>
          <w:rFonts w:ascii="Times New Roman" w:hAnsi="Times New Roman" w:cs="Times New Roman"/>
        </w:rPr>
        <w:t xml:space="preserve"> method</w:t>
      </w:r>
      <w:r w:rsidR="00A21E9A" w:rsidRPr="009A71FD">
        <w:rPr>
          <w:rFonts w:ascii="Times New Roman" w:hAnsi="Times New Roman" w:cs="Times New Roman"/>
        </w:rPr>
        <w:t xml:space="preserve"> </w:t>
      </w:r>
      <w:r w:rsidRPr="00574F19">
        <w:rPr>
          <w:rFonts w:ascii="Times New Roman" w:hAnsi="Times New Roman" w:cs="Times New Roman"/>
        </w:rPr>
        <w:t xml:space="preserve">in different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>.</w:t>
      </w:r>
    </w:p>
    <w:p w14:paraId="5BE9D8C2" w14:textId="02A1CF0A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>Supplementary Figure 8:</w:t>
      </w:r>
      <w:r w:rsidRPr="00574F19">
        <w:rPr>
          <w:rFonts w:ascii="Times New Roman" w:hAnsi="Times New Roman" w:cs="Times New Roman"/>
        </w:rPr>
        <w:t xml:space="preserve"> Intergroup differences in IC50 values of the observed chemotherapeutic agent cisplatin</w:t>
      </w:r>
      <w:r w:rsidR="00A21E9A">
        <w:rPr>
          <w:rFonts w:ascii="Times New Roman" w:hAnsi="Times New Roman" w:cs="Times New Roman" w:hint="eastAsia"/>
        </w:rPr>
        <w:t xml:space="preserve"> </w:t>
      </w:r>
      <w:r w:rsidR="00A21E9A" w:rsidRPr="009D5FE6">
        <w:rPr>
          <w:rFonts w:ascii="Times New Roman" w:hAnsi="Times New Roman" w:cs="Times New Roman"/>
        </w:rPr>
        <w:t xml:space="preserve">predicted by the </w:t>
      </w:r>
      <w:r w:rsidR="00A21E9A">
        <w:rPr>
          <w:rFonts w:ascii="Times New Roman" w:hAnsi="Times New Roman" w:cs="Times New Roman"/>
        </w:rPr>
        <w:t>‘</w:t>
      </w:r>
      <w:proofErr w:type="spellStart"/>
      <w:r w:rsidR="00A21E9A" w:rsidRPr="009D5FE6">
        <w:rPr>
          <w:rFonts w:ascii="Times New Roman" w:hAnsi="Times New Roman" w:cs="Times New Roman"/>
        </w:rPr>
        <w:t>pRRophetic</w:t>
      </w:r>
      <w:proofErr w:type="spellEnd"/>
      <w:r w:rsidR="00A21E9A">
        <w:rPr>
          <w:rFonts w:ascii="Times New Roman" w:hAnsi="Times New Roman" w:cs="Times New Roman"/>
        </w:rPr>
        <w:t>’</w:t>
      </w:r>
      <w:r w:rsidR="00A21E9A" w:rsidRPr="009D5FE6">
        <w:rPr>
          <w:rFonts w:ascii="Times New Roman" w:hAnsi="Times New Roman" w:cs="Times New Roman"/>
        </w:rPr>
        <w:t xml:space="preserve"> method</w:t>
      </w:r>
      <w:r w:rsidRPr="00574F19">
        <w:rPr>
          <w:rFonts w:ascii="Times New Roman" w:hAnsi="Times New Roman" w:cs="Times New Roman"/>
        </w:rPr>
        <w:t xml:space="preserve"> in different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>.</w:t>
      </w:r>
    </w:p>
    <w:p w14:paraId="352D728E" w14:textId="461947B1" w:rsidR="00BC163C" w:rsidRPr="00574F19" w:rsidRDefault="00BC163C" w:rsidP="00BC163C">
      <w:pPr>
        <w:rPr>
          <w:rFonts w:ascii="Times New Roman" w:hAnsi="Times New Roman" w:cs="Times New Roman"/>
        </w:rPr>
      </w:pPr>
      <w:r w:rsidRPr="00574F19">
        <w:rPr>
          <w:rFonts w:ascii="Times New Roman" w:hAnsi="Times New Roman" w:cs="Times New Roman"/>
          <w:b/>
          <w:bCs/>
        </w:rPr>
        <w:t xml:space="preserve">Supplementary Figure 9: </w:t>
      </w:r>
      <w:r w:rsidRPr="00574F19">
        <w:rPr>
          <w:rFonts w:ascii="Times New Roman" w:hAnsi="Times New Roman" w:cs="Times New Roman"/>
        </w:rPr>
        <w:t xml:space="preserve">Intergroup differences in IC50 values of the observed chemotherapeutic agent bexarotene </w:t>
      </w:r>
      <w:r w:rsidR="00A21E9A" w:rsidRPr="009D5FE6">
        <w:rPr>
          <w:rFonts w:ascii="Times New Roman" w:hAnsi="Times New Roman" w:cs="Times New Roman"/>
        </w:rPr>
        <w:t xml:space="preserve">predicted by the </w:t>
      </w:r>
      <w:r w:rsidR="00A21E9A">
        <w:rPr>
          <w:rFonts w:ascii="Times New Roman" w:hAnsi="Times New Roman" w:cs="Times New Roman"/>
        </w:rPr>
        <w:t>‘</w:t>
      </w:r>
      <w:proofErr w:type="spellStart"/>
      <w:r w:rsidR="00A21E9A" w:rsidRPr="009D5FE6">
        <w:rPr>
          <w:rFonts w:ascii="Times New Roman" w:hAnsi="Times New Roman" w:cs="Times New Roman"/>
        </w:rPr>
        <w:t>pRRophetic</w:t>
      </w:r>
      <w:proofErr w:type="spellEnd"/>
      <w:r w:rsidR="00A21E9A">
        <w:rPr>
          <w:rFonts w:ascii="Times New Roman" w:hAnsi="Times New Roman" w:cs="Times New Roman"/>
        </w:rPr>
        <w:t>’</w:t>
      </w:r>
      <w:r w:rsidR="00A21E9A" w:rsidRPr="009D5FE6">
        <w:rPr>
          <w:rFonts w:ascii="Times New Roman" w:hAnsi="Times New Roman" w:cs="Times New Roman"/>
        </w:rPr>
        <w:t xml:space="preserve"> method</w:t>
      </w:r>
      <w:r w:rsidR="00A21E9A" w:rsidRPr="009A71FD">
        <w:rPr>
          <w:rFonts w:ascii="Times New Roman" w:hAnsi="Times New Roman" w:cs="Times New Roman"/>
        </w:rPr>
        <w:t xml:space="preserve"> </w:t>
      </w:r>
      <w:r w:rsidRPr="00574F19">
        <w:rPr>
          <w:rFonts w:ascii="Times New Roman" w:hAnsi="Times New Roman" w:cs="Times New Roman"/>
        </w:rPr>
        <w:t xml:space="preserve">in different </w:t>
      </w:r>
      <w:proofErr w:type="spellStart"/>
      <w:r w:rsidRPr="00574F19">
        <w:rPr>
          <w:rFonts w:ascii="Times New Roman" w:hAnsi="Times New Roman" w:cs="Times New Roman"/>
        </w:rPr>
        <w:t>tumors</w:t>
      </w:r>
      <w:proofErr w:type="spellEnd"/>
      <w:r w:rsidRPr="00574F19">
        <w:rPr>
          <w:rFonts w:ascii="Times New Roman" w:hAnsi="Times New Roman" w:cs="Times New Roman"/>
        </w:rPr>
        <w:t>.</w:t>
      </w:r>
    </w:p>
    <w:p w14:paraId="34BB639D" w14:textId="77777777" w:rsidR="00046DE7" w:rsidRPr="00BC163C" w:rsidRDefault="00046DE7"/>
    <w:sectPr w:rsidR="00046DE7" w:rsidRPr="00BC163C" w:rsidSect="00983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B690" w14:textId="77777777" w:rsidR="000909AC" w:rsidRDefault="000909AC" w:rsidP="00BC163C">
      <w:pPr>
        <w:spacing w:after="0" w:line="240" w:lineRule="auto"/>
      </w:pPr>
      <w:r>
        <w:separator/>
      </w:r>
    </w:p>
  </w:endnote>
  <w:endnote w:type="continuationSeparator" w:id="0">
    <w:p w14:paraId="0145E533" w14:textId="77777777" w:rsidR="000909AC" w:rsidRDefault="000909AC" w:rsidP="00BC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E88C" w14:textId="77777777" w:rsidR="000909AC" w:rsidRDefault="000909AC" w:rsidP="00BC163C">
      <w:pPr>
        <w:spacing w:after="0" w:line="240" w:lineRule="auto"/>
      </w:pPr>
      <w:r>
        <w:separator/>
      </w:r>
    </w:p>
  </w:footnote>
  <w:footnote w:type="continuationSeparator" w:id="0">
    <w:p w14:paraId="6DFE6D26" w14:textId="77777777" w:rsidR="000909AC" w:rsidRDefault="000909AC" w:rsidP="00BC1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FE"/>
    <w:rsid w:val="00046DE7"/>
    <w:rsid w:val="00067AE5"/>
    <w:rsid w:val="000909AC"/>
    <w:rsid w:val="00174BD5"/>
    <w:rsid w:val="00206822"/>
    <w:rsid w:val="00242B39"/>
    <w:rsid w:val="00276932"/>
    <w:rsid w:val="003136CE"/>
    <w:rsid w:val="00636E9A"/>
    <w:rsid w:val="00983833"/>
    <w:rsid w:val="00A21E9A"/>
    <w:rsid w:val="00B110B1"/>
    <w:rsid w:val="00B4568E"/>
    <w:rsid w:val="00BC163C"/>
    <w:rsid w:val="00BF349B"/>
    <w:rsid w:val="00C07055"/>
    <w:rsid w:val="00DC4009"/>
    <w:rsid w:val="00E979FE"/>
    <w:rsid w:val="00F37C2C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4464C"/>
  <w15:chartTrackingRefBased/>
  <w15:docId w15:val="{B66D9D3E-9A92-4910-8107-34126143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63C"/>
    <w:pPr>
      <w:spacing w:after="200" w:line="276" w:lineRule="auto"/>
    </w:pPr>
    <w:rPr>
      <w:rFonts w:ascii="Calibri" w:eastAsia="宋体" w:hAnsi="Calibri" w:cs="Arial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3C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BC1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63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BC163C"/>
    <w:rPr>
      <w:sz w:val="18"/>
      <w:szCs w:val="18"/>
    </w:rPr>
  </w:style>
  <w:style w:type="paragraph" w:styleId="a7">
    <w:name w:val="Revision"/>
    <w:hidden/>
    <w:uiPriority w:val="99"/>
    <w:semiHidden/>
    <w:rsid w:val="003136CE"/>
    <w:rPr>
      <w:rFonts w:ascii="Calibri" w:eastAsia="宋体" w:hAnsi="Calibri" w:cs="Arial"/>
      <w:kern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zhangjh2015@lzu.edu.cn</dc:creator>
  <cp:keywords/>
  <dc:description/>
  <cp:lastModifiedBy>zhangjh2015@lzu.edu.cn</cp:lastModifiedBy>
  <cp:revision>7</cp:revision>
  <dcterms:created xsi:type="dcterms:W3CDTF">2024-03-06T01:48:00Z</dcterms:created>
  <dcterms:modified xsi:type="dcterms:W3CDTF">2024-06-14T05:43:00Z</dcterms:modified>
</cp:coreProperties>
</file>