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Risk score</w:t>
      </w:r>
      <w:r>
        <w:rPr>
          <w:rFonts w:hint="eastAsia" w:cs="Times New Roman" w:eastAsiaTheme="minorEastAsia"/>
          <w:b/>
          <w:bCs/>
          <w:kern w:val="2"/>
          <w:sz w:val="24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calculation formula</w:t>
      </w:r>
      <w:r>
        <w:rPr>
          <w:rFonts w:hint="eastAsia" w:cs="Times New Roman" w:eastAsiaTheme="minorEastAsia"/>
          <w:b/>
          <w:bCs/>
          <w:kern w:val="2"/>
          <w:sz w:val="24"/>
          <w:szCs w:val="32"/>
          <w:lang w:val="en-US" w:eastAsia="zh-CN"/>
        </w:rPr>
        <w:t>s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 xml:space="preserve">ACC: 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0.230298932465898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TRAF2 + 0.342738335266177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HMGB1 - 0.0274604685889637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JAK3 + 0.464532471355915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IRF9 </w:t>
      </w:r>
      <w:r>
        <w:rPr>
          <w:rFonts w:hint="eastAsia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0.100804518606649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HSP90AB1 + 0.370056210284992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PPIA + 0.994301391319621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H2AFX + 0.251653013080674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H2AFY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CESC: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0.142606961517936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TNF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0.286441021110195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SLC25A5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0.188957165634617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VDAC1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0.117271017121659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FTH1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0.233692723981076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IL1B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0.634781325290046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CHMP4C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0.385256915489608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BCL2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0.216191581281094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HIST1H2AE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0.26199604313502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HIST1H2AI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LAML: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0.254398577865413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FADD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0.0418777322578159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FTH1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0.307407568939326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PLA2G4A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0.0814626253503179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AIFM1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LGG: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0.333565905753237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CFLAR-0.210860732041259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GLUD1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0.0326362004153184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PLA2G4A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0.126466718943175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STAT1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0.00485995393057329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EIF2AK2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0.339271539688111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H2AFX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0.0705207515549953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HIST3H2A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0.230813018648307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H2AFY2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LIHC: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0.0297780473746593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PYGB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0.101113274662343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IL33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0.239918552200294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USP21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0.238099040037305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SQSTM1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0.201184104906853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PPIA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0.0801568770331508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H2AFX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0.0981490076561848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H2AFZ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PAAD: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0.0937624798908577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BIRC3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0.162163203925034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PYGL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0.144856427655683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PYGB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0.344806436998224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TNFSF10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0.0914925687412144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TNFRSF10A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0.551636257836531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TYK2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0.000686874561700975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STAT1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0.0728986549213852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HIST1H2AC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SKCM: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0.200898376329362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VDAC1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0.120382358200087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PLA2G4E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0.226073291365733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PLA2G4D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0.0569799964318873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PGAM5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0.0368198716641599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CHMP4C-0.0198860299379785</w:t>
      </w:r>
      <w:bookmarkStart w:id="0" w:name="OLE_LINK2"/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bookmarkEnd w:id="0"/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FASLG-0.128642604153774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IFNGR2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0.208501959753085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STAT1-0.109759990971266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IRF9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0.252360119262102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PARP1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0.0899969943909046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H2AFJ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0.0558844539653719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H2AFZ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/>
        </w:rPr>
        <w:t>THYM:</w:t>
      </w:r>
    </w:p>
    <w:p>
      <w:pPr>
        <w:widowControl w:val="0"/>
        <w:numPr>
          <w:ilvl w:val="0"/>
          <w:numId w:val="0"/>
        </w:numPr>
        <w:spacing w:before="0" w:after="0" w:line="24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Risk score =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0.342688972678846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TNF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0.176030071347679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SLC25A4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0.527739773662039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CASP1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0.28610268987457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TNFSF10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-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0.573984660278325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IFNAR2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0.218371189189496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IFNGR2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0.267097780436071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JAK2+0.176687995773885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STAT4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+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0.307030607723113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×</w:t>
      </w:r>
      <w:r>
        <w:rPr>
          <w:rFonts w:hint="eastAsia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4"/>
          <w:szCs w:val="32"/>
          <w:lang w:val="en-US" w:eastAsia="zh-CN"/>
        </w:rPr>
        <w:t>H2AFY2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D51"/>
    <w:rsid w:val="04A209FA"/>
    <w:rsid w:val="11EE5A02"/>
    <w:rsid w:val="13F75126"/>
    <w:rsid w:val="50A9417C"/>
    <w:rsid w:val="59F9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2021-01-24T14:39:00Z</dcterms:created>
  <dc:creator>admin</dc:creator>
  <cp:lastModifiedBy>gone with the wind</cp:lastModifiedBy>
  <dcterms:modified xsi:type="dcterms:W3CDTF">2022-01-13T07:52:22Z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D120AD9C65CA4F51847563808866ECDA</vt:lpwstr>
  </property>
</Properties>
</file>