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Necroptosis-related genes list (KEGG-</w:t>
      </w:r>
      <w:r>
        <w:rPr>
          <w:rFonts w:hint="default"/>
          <w:b/>
          <w:bCs/>
          <w:lang w:val="en-US" w:eastAsia="zh-CN"/>
        </w:rPr>
        <w:t>hsa04217</w:t>
      </w:r>
      <w:r>
        <w:rPr>
          <w:rFonts w:hint="eastAsia"/>
          <w:b/>
          <w:bCs/>
          <w:lang w:val="en-US" w:eastAsia="zh-CN"/>
        </w:rPr>
        <w:t>)</w:t>
      </w:r>
    </w:p>
    <w:tbl>
      <w:tblPr>
        <w:tblStyle w:val="20"/>
        <w:tblW w:w="8419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Genes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Gene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"https://www.genome.jp/entry/K03156" \o "https://www.genome.jp/entry/K03156"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TNF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tumor necrosis factor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"https://www.genome.jp/entry/K03158" \o "https://www.genome.jp/entry/K03158"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TNFRSF1A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receptor superfamily member 1A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"https://www.genome.jp/entry/K03171" \o "https://www.genome.jp/entry/K03171"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TRADD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TNFRSF1A associated via death domain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TRAF2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receptor associated factor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"https://www.genome.jp/entry/K09849" \o "https://www.genome.jp/entry/K09849"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TRAF5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receptor associated factor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RIPK1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receptor interacting serine/threonine kinase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"https://www.genome.jp/entry/K16060" \o "https://www.genome.jp/entry/K16060"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BIRC2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baculoviral IAP repeat containing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"https://www.genome.jp/entry/K16060" \o "https://www.genome.jp/entry/K16060"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BIRC3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baculoviral IAP repeat containing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XIAP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X-linked inhibitor of apoptosis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RBCK1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RANBP2-type and C3HC4-type zinc finger containing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RNF31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ring finger protein 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"https://www.genome.jp/entry/K20894" \o "https://www.genome.jp/entry/K20894"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SHARPIN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SHANK associated RH domain interactor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"https://www.genome.jp/entry/K17595" \o "https://www.genome.jp/entry/K17595"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SPATA2L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spermatogenesis associated 2 like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"https://www.genome.jp/entry/K17595" \o "https://www.genome.jp/entry/K17595"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SPATA2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spermatogenesis associated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CYLD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CYLD lysine 63 deubiquitinase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"https://www.genome.jp/entry/K02373" \o "https://www.genome.jp/entry/K02373"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FADD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Fas associated via death domain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CASP8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caspase 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"https://www.genome.jp/entry/K04724" \o "https://www.genome.jp/entry/K04724"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CFL</w:t>
            </w:r>
            <w:bookmarkStart w:id="0" w:name="_GoBack"/>
            <w:bookmarkEnd w:id="0"/>
            <w:r>
              <w:rPr>
                <w:rFonts w:hint="default"/>
              </w:rPr>
              <w:t>AR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CASP8 and FADD like apoptosis regulator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RIPK3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receptor interacting serine/threonine kinase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"https://www.genome.jp/entry/K21421" \o "https://www.genome.jp/entry/K21421"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CYBB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cytochrome b-245 beta chain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CAMK2A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calcium/calmodulin dependent protein kinase II alpha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CAMK2D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calcium/calmodulin dependent protein kinase II delta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CAMK2B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calcium/calmodulin dependent protein kinase II beta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CAMK2G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calcium/calmodulin dependent protein kinase II gamma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"https://www.genome.jp/entry/K05863" \o "https://www.genome.jp/entry/K05863"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SLC25A4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solute carrier family 25 member 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"https://www.genome.jp/entry/K05863" \o "https://www.genome.jp/entry/K05863"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SLC25A5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solute carrier family 25 member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"https://www.genome.jp/entry/K05863" \o "https://www.genome.jp/entry/K05863"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SLC25A6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solute carrier family 25 member 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"https://www.genome.jp/entry/K05863" \o "https://www.genome.jp/entry/K05863"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SLC25A31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solute carrier family 25 member 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PPID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peptidylprolyl isomerase 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"https://www.genome.jp/entry/K05862" \o "https://www.genome.jp/entry/K05862"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VDAC1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voltage dependent anion channel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"https://www.genome.jp/entry/K15040" \o "https://www.genome.jp/entry/K15040"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VDAC2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voltage dependent anion channel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"https://www.genome.jp/entry/K15041" \o "https://www.genome.jp/entry/K15041"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VDAC3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voltage dependent anion channel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GLUD2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glutamate dehydrogenase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GLUD1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glutamate dehydrogenase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GLUL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glutamate-ammonia ligase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PYGL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glycogen phosphorylase 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PYGM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glycogen phosphorylase, muscle associated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PYGB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glycogen phosphorylase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MAPK8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mitogen-activated protein kinase 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MAPK10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mitogen-activated protein kinase 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MAPK9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mitogen-activated protein kinase 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FTH1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ferritin heavy chain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"https://www.genome.jp/entry/K13625" \o "https://www.genome.jp/entry/K13625"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FTL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ferritin light chain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PLA2G4E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PLA2G4A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JMJD7-PLA2G4B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JMJD7-PLA2G4B readthrough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PLA2G4C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PLA2G4D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PLA2G4F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phospholipase A2 group IVF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ALOX15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arachidonate 15-lipoxygenase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CAPN1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calpain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CAPN2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calpain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SMPD1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sphingomyelin phosphodiesterase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MLKL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mixed lineage kinase domain like pseudokinase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PGAM5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PGAM family member 5, mitochondrial serine/threonine protein phosphatase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DNM1L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dynamin 1 like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"https://www.genome.jp/entry/K12800" \o "https://www.genome.jp/entry/K12800"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NLRP3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NLR family pyrin domain containing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"https://www.genome.jp/entry/K12799" \o "https://www.genome.jp/entry/K12799"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PYCARD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PYD and CARD domain containing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CASP1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caspase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"https://www.genome.jp/entry/K04519" \o "https://www.genome.jp/entry/K04519"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IL1B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interleukin 1 beta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"https://www.genome.jp/entry/K12191" \o "https://www.genome.jp/entry/K12191"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CHMP2A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2A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"https://www.genome.jp/entry/K12192" \o "https://www.genome.jp/entry/K12192"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CHMP2B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2B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"https://www.genome.jp/entry/K12193" \o "https://www.genome.jp/entry/K12193"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"https://www.genome.jp/entry/K12193" \o "https://www.genome.jp/entry/K12193"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RNF103-CHMP3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RNF103-CHMP3 readthrough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"https://www.genome.jp/entry/K12194" \o "https://www.genome.jp/entry/K12194"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CHMP4B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4B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"https://www.genome.jp/entry/K12194" \o "https://www.genome.jp/entry/K12194"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CHMP4A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4A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"https://www.genome.jp/entry/K24782" \o "https://www.genome.jp/entry/K24782"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CHMP4C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4C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"https://www.genome.jp/entry/K12195" \o "https://www.genome.jp/entry/K12195"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CHMP6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"https://www.genome.jp/entry/K12196" \o "https://www.genome.jp/entry/K12196"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VPS4B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vacuolar protein sorting 4 homolog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"https://www.genome.jp/entry/K12196" \o "https://www.genome.jp/entry/K12196"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VPS4A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vacuolar protein sorting 4 homolog 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"https://www.genome.jp/entry/K12197" \o "https://www.genome.jp/entry/K12197"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CHMP1B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1B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"https://www.genome.jp/entry/K12197" \o "https://www.genome.jp/entry/K12197"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CHMP1A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1A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"https://www.genome.jp/entry/K12198" \o "https://www.genome.jp/entry/K12198"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CHMP5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"https://www.genome.jp/entry/K15053" \o "https://www.genome.jp/entry/K15053"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CHMP7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charged multivesicular body protein 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TRPM7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transient receptor potential cation channel subfamily M member 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"https://www.genome.jp/entry/K04383" \o "https://www.genome.jp/entry/K04383"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IL1A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interleukin 1 alpha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"https://www.genome.jp/entry/K12967" \o "https://www.genome.jp/entry/K12967"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IL33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interleukin 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"https://www.genome.jp/entry/K10802" \o "https://www.genome.jp/entry/K10802"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HMGB1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high mobility group box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"https://www.genome.jp/entry/K04721" \o "https://www.genome.jp/entry/K04721"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TNFSF10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superfamily member 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"https://www.genome.jp/entry/K04722" \o "https://www.genome.jp/entry/K04722"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TNFRSF10A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receptor superfamily member 10a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"https://www.genome.jp/entry/K04722" \o "https://www.genome.jp/entry/K04722"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TNFRSF10B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receptor superfamily member 10b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"https://www.genome.jp/entry/K04389" \o "https://www.genome.jp/entry/K04389"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FASLG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Fas ligand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"https://www.genome.jp/entry/K04390" \o "https://www.genome.jp/entry/K04390"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FAS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Fas cell surface death receptor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"https://www.genome.jp/entry/K20703" \o "https://www.genome.jp/entry/K20703"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FAF1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Fas associated factor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IFNA4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IFNA5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IFNA6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IFNA7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IFNA8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IFNA10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IFNA14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IFNA16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IFNA17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"https://www.genome.jp/entry/K05414" \o "https://www.genome.jp/entry/K05414"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IFNA21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"https://www.genome.jp/entry/K05415" \o "https://www.genome.jp/entry/K05415"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IFNB1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beta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"https://www.genome.jp/entry/K04687" \o "https://www.genome.jp/entry/K04687"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IFNG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gamma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"https://www.genome.jp/entry/K05130" \o "https://www.genome.jp/entry/K05130"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IFNAR1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and beta receptor subunit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"https://www.genome.jp/entry/K05131" \o "https://www.genome.jp/entry/K05131"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IFNAR2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alpha and beta receptor subunit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"https://www.genome.jp/entry/K05132" \o "https://www.genome.jp/entry/K05132"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IFNGR1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gamma receptor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"https://www.genome.jp/entry/K05133" \o "https://www.genome.jp/entry/K05133"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IFNGR2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gamma receptor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JAK1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Janus kinase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JAK2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Janus kinase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JAK3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Janus kinase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TYK2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tyrosine kinase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"https://www.genome.jp/entry/K11220" \o "https://www.genome.jp/entry/K11220"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"https://www.genome.jp/entry/K11221" \o "https://www.genome.jp/entry/K11221"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"https://www.genome.jp/entry/K04692" \o "https://www.genome.jp/entry/K04692"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"https://www.genome.jp/entry/K11222" \o "https://www.genome.jp/entry/K11222"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STAT4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"https://www.genome.jp/entry/K11223" \o "https://www.genome.jp/entry/K11223"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STAT5A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5A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"https://www.genome.jp/entry/K11224" \o "https://www.genome.jp/entry/K11224"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STAT5B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5B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"https://www.genome.jp/entry/K11225" \o "https://www.genome.jp/entry/K11225"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STAT6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signal transducer and activator of transcription 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"https://www.genome.jp/entry/K04693" \o "https://www.genome.jp/entry/K04693"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IRF9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interferon regulatory factor 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EIF2AK2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eukaryotic translation initiation factor 2 alpha kinase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"https://www.genome.jp/entry/K10160" \o "https://www.genome.jp/entry/K10160"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TLR4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toll like receptor 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"https://www.genome.jp/entry/K05409" \o "https://www.genome.jp/entry/K05409"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TICAM2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toll like receptor adaptor molecule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"https://www.genome.jp/entry/K05842" \o "https://www.genome.jp/entry/K05842"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TICAM1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toll like receptor adaptor molecule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"https://www.genome.jp/entry/K05401" \o "https://www.genome.jp/entry/K05401"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TLR3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toll like receptor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"https://www.genome.jp/entry/K12965" \o "https://www.genome.jp/entry/K12965"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ZBP1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Z-DNA binding protein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USP21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ubiquitin specific peptidase 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"https://www.genome.jp/entry/K14381" \o "https://www.genome.jp/entry/K14381"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SQSTM1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sequestosome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"https://www.genome.jp/entry/K04079" \o "https://www.genome.jp/entry/K04079"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HSP90AA1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heat shock protein 90 alpha family class A member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"https://www.genome.jp/entry/K04079" \o "https://www.genome.jp/entry/K04079"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HSP90AB1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heat shock protein 90 alpha family class B member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TNFAIP3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TNF alpha induced protein 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PARP1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poly(ADP-ribose) polymerase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"https://www.genome.jp/entry/K04726" \o "https://www.genome.jp/entry/K04726"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BID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BH3 interacting domain death agonist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"https://www.genome.jp/entry/K02159" \o "https://www.genome.jp/entry/K02159"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BAX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BCL2 associated X, apoptosis regulator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"https://www.genome.jp/entry/K04727" \o "https://www.genome.jp/entry/K04727"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AIFM1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apoptosis inducing factor mitochondria associated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H2AFX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 histone family, member 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HIST2H2AC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HIST1H2AH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HIST1H2AA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HIST3H2A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3 H2A family member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H2AFB3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B3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HIST1H2AE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H2AFY2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Y2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H2AFY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Y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HIST2H2AA4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2 H2A family member 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H2AFJ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J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H2AFB1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B1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HIST1H2AM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HIST2H2AA3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2 H2A family member 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HIST1H2AG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HIST2H2AB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2 H2A family member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H2AFV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V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HIST1H2AD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H2AFZ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Z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HIST1H2AK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HIST1H2AC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HIST1H2AI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HIST1H2AJ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HIST1H2AL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histone cluster 1 H2A family member 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H2AFB2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"https://www.ncbi.nlm.nih.gov/gene/703044" \o "https://www.ncbi.nlm.nih.gov/gene/703044"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H2A histone family, member B2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PPIA</w:t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peptidylprolyl isomerase 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"https://www.genome.jp/entry/K02161" \o "https://www.genome.jp/entry/K02161"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</w:rPr>
              <w:t>BCL2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592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BCL2 apoptosis regulator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71023CF"/>
    <w:rsid w:val="08611584"/>
    <w:rsid w:val="095C274F"/>
    <w:rsid w:val="0D843303"/>
    <w:rsid w:val="10BA6E16"/>
    <w:rsid w:val="16273291"/>
    <w:rsid w:val="19241D0A"/>
    <w:rsid w:val="1C7F5E4C"/>
    <w:rsid w:val="216616F6"/>
    <w:rsid w:val="221C2118"/>
    <w:rsid w:val="23F12121"/>
    <w:rsid w:val="299A6F16"/>
    <w:rsid w:val="2B193698"/>
    <w:rsid w:val="2BE26142"/>
    <w:rsid w:val="2E24038A"/>
    <w:rsid w:val="2E4B2AB6"/>
    <w:rsid w:val="38C5276A"/>
    <w:rsid w:val="3C011D0B"/>
    <w:rsid w:val="3C7249B6"/>
    <w:rsid w:val="3DD86A9B"/>
    <w:rsid w:val="42E0619A"/>
    <w:rsid w:val="432B386C"/>
    <w:rsid w:val="45446C5B"/>
    <w:rsid w:val="45A831F7"/>
    <w:rsid w:val="48B819A3"/>
    <w:rsid w:val="4ADB19B3"/>
    <w:rsid w:val="4BCE772F"/>
    <w:rsid w:val="507C775A"/>
    <w:rsid w:val="520D4197"/>
    <w:rsid w:val="5643493A"/>
    <w:rsid w:val="5CE137F3"/>
    <w:rsid w:val="5E2356B9"/>
    <w:rsid w:val="5E841F85"/>
    <w:rsid w:val="5EA23D7A"/>
    <w:rsid w:val="626544F2"/>
    <w:rsid w:val="629F6FC1"/>
    <w:rsid w:val="64FE7D1B"/>
    <w:rsid w:val="6F541B76"/>
    <w:rsid w:val="77004083"/>
    <w:rsid w:val="772B58B2"/>
    <w:rsid w:val="77950F7E"/>
    <w:rsid w:val="78A92FA8"/>
    <w:rsid w:val="7E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247</Words>
  <Characters>1410</Characters>
  <Lines>11</Lines>
  <Paragraphs>3</Paragraphs>
  <TotalTime>5</TotalTime>
  <ScaleCrop>false</ScaleCrop>
  <LinksUpToDate>false</LinksUpToDate>
  <CharactersWithSpaces>1654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2018-11-23T08:58:00Z</dcterms:created>
  <dc:creator>Frontiers Media SA</dc:creator>
  <cp:lastModifiedBy>gone with the wind</cp:lastModifiedBy>
  <cp:lastPrinted>2013-10-03T12:51:00Z</cp:lastPrinted>
  <dcterms:modified xsi:type="dcterms:W3CDTF">2022-01-11T15:36:08Z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C5475790A6FB4665B2E3A942CCBDF93C</vt:lpwstr>
  </property>
</Properties>
</file>