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EA3D" w14:textId="7EF58621" w:rsidR="0073323C" w:rsidRDefault="003F5C30">
      <w:pPr>
        <w:rPr>
          <w:rFonts w:ascii="Arial" w:hAnsi="Arial" w:cs="Arial"/>
        </w:rPr>
      </w:pPr>
      <w:r w:rsidRPr="00AC15AB">
        <w:rPr>
          <w:rFonts w:ascii="Arial" w:hAnsi="Arial" w:cs="Arial"/>
          <w:b/>
          <w:bCs/>
        </w:rPr>
        <w:t xml:space="preserve">Supplemental Table </w:t>
      </w:r>
      <w:r>
        <w:rPr>
          <w:rFonts w:ascii="Arial" w:hAnsi="Arial" w:cs="Arial"/>
          <w:b/>
          <w:bCs/>
        </w:rPr>
        <w:t>1</w:t>
      </w:r>
      <w:r w:rsidRPr="00AC15AB">
        <w:rPr>
          <w:rFonts w:ascii="Arial" w:hAnsi="Arial" w:cs="Arial"/>
          <w:b/>
          <w:bCs/>
        </w:rPr>
        <w:t>.</w:t>
      </w:r>
      <w:r w:rsidRPr="00AC15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Prevalence of the frequency of cannabis use among adults who smoke daily</w:t>
      </w:r>
      <w:r w:rsidR="0073323C">
        <w:rPr>
          <w:rFonts w:ascii="Arial" w:hAnsi="Arial" w:cs="Arial"/>
        </w:rPr>
        <w:t xml:space="preserve"> in Australia, Canada, England and the United States (N=7</w:t>
      </w:r>
      <w:r w:rsidR="00CE3FE6">
        <w:rPr>
          <w:rFonts w:ascii="Arial" w:hAnsi="Arial" w:cs="Arial"/>
        </w:rPr>
        <w:t>,</w:t>
      </w:r>
      <w:r w:rsidR="0073323C">
        <w:rPr>
          <w:rFonts w:ascii="Arial" w:hAnsi="Arial" w:cs="Arial"/>
        </w:rPr>
        <w:t>044)</w:t>
      </w:r>
    </w:p>
    <w:tbl>
      <w:tblPr>
        <w:tblStyle w:val="TableGrid"/>
        <w:tblW w:w="11245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1620"/>
        <w:gridCol w:w="1800"/>
        <w:gridCol w:w="1755"/>
        <w:gridCol w:w="1665"/>
        <w:gridCol w:w="1598"/>
      </w:tblGrid>
      <w:tr w:rsidR="00692B00" w:rsidRPr="007C15CD" w14:paraId="15A3AB36" w14:textId="77777777" w:rsidTr="00692B00">
        <w:tc>
          <w:tcPr>
            <w:tcW w:w="2807" w:type="dxa"/>
            <w:tcBorders>
              <w:top w:val="single" w:sz="12" w:space="0" w:color="auto"/>
              <w:bottom w:val="single" w:sz="12" w:space="0" w:color="auto"/>
            </w:tcBorders>
          </w:tcPr>
          <w:p w14:paraId="1D189A35" w14:textId="77777777" w:rsidR="007637D0" w:rsidRPr="007C15CD" w:rsidRDefault="007637D0" w:rsidP="008661D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53E093E2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  <w:b/>
                <w:bCs/>
              </w:rPr>
              <w:t>Canada</w:t>
            </w:r>
          </w:p>
          <w:p w14:paraId="69961A85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</w:rPr>
              <w:t>n=2,069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14:paraId="3E843CDA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  <w:b/>
                <w:bCs/>
              </w:rPr>
              <w:t>United States</w:t>
            </w:r>
          </w:p>
          <w:p w14:paraId="721F5D8B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</w:rPr>
            </w:pPr>
            <w:r w:rsidRPr="007C15CD">
              <w:rPr>
                <w:rFonts w:ascii="Arial" w:hAnsi="Arial" w:cs="Arial"/>
              </w:rPr>
              <w:t>n=1,418</w:t>
            </w:r>
          </w:p>
        </w:tc>
        <w:tc>
          <w:tcPr>
            <w:tcW w:w="1755" w:type="dxa"/>
            <w:tcBorders>
              <w:top w:val="single" w:sz="12" w:space="0" w:color="auto"/>
              <w:bottom w:val="single" w:sz="12" w:space="0" w:color="auto"/>
            </w:tcBorders>
          </w:tcPr>
          <w:p w14:paraId="3854A258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  <w:b/>
                <w:bCs/>
              </w:rPr>
              <w:t>England</w:t>
            </w:r>
          </w:p>
          <w:p w14:paraId="21E4E5C2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</w:rPr>
            </w:pPr>
            <w:r w:rsidRPr="007C15CD">
              <w:rPr>
                <w:rFonts w:ascii="Arial" w:hAnsi="Arial" w:cs="Arial"/>
              </w:rPr>
              <w:t>n=2,444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</w:tcPr>
          <w:p w14:paraId="654F0A82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  <w:b/>
                <w:bCs/>
              </w:rPr>
              <w:t>Australia</w:t>
            </w:r>
          </w:p>
          <w:p w14:paraId="2452FE8F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</w:rPr>
            </w:pPr>
            <w:r w:rsidRPr="007C15CD">
              <w:rPr>
                <w:rFonts w:ascii="Arial" w:hAnsi="Arial" w:cs="Arial"/>
              </w:rPr>
              <w:t>n=1,113</w:t>
            </w:r>
          </w:p>
        </w:tc>
        <w:tc>
          <w:tcPr>
            <w:tcW w:w="1598" w:type="dxa"/>
            <w:tcBorders>
              <w:top w:val="single" w:sz="12" w:space="0" w:color="auto"/>
              <w:bottom w:val="single" w:sz="12" w:space="0" w:color="auto"/>
            </w:tcBorders>
          </w:tcPr>
          <w:p w14:paraId="1EFC8BEB" w14:textId="06A250D5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  <w:b/>
                <w:bCs/>
              </w:rPr>
              <w:t>All</w:t>
            </w:r>
            <w:r w:rsidR="003F3FA6" w:rsidRPr="007C15CD">
              <w:rPr>
                <w:rFonts w:ascii="Arial" w:hAnsi="Arial" w:cs="Arial"/>
                <w:b/>
                <w:bCs/>
              </w:rPr>
              <w:t>*</w:t>
            </w:r>
          </w:p>
          <w:p w14:paraId="59907349" w14:textId="77777777" w:rsidR="007637D0" w:rsidRPr="007C15CD" w:rsidRDefault="007637D0" w:rsidP="008661D2">
            <w:pPr>
              <w:spacing w:before="120"/>
              <w:jc w:val="center"/>
              <w:rPr>
                <w:rFonts w:ascii="Arial" w:hAnsi="Arial" w:cs="Arial"/>
              </w:rPr>
            </w:pPr>
            <w:r w:rsidRPr="007C15CD">
              <w:rPr>
                <w:rFonts w:ascii="Arial" w:hAnsi="Arial" w:cs="Arial"/>
              </w:rPr>
              <w:t>N=7,044</w:t>
            </w:r>
          </w:p>
        </w:tc>
      </w:tr>
      <w:tr w:rsidR="009F60A1" w:rsidRPr="007C15CD" w14:paraId="74776AB8" w14:textId="77777777" w:rsidTr="001354A7">
        <w:trPr>
          <w:trHeight w:val="825"/>
        </w:trPr>
        <w:tc>
          <w:tcPr>
            <w:tcW w:w="11245" w:type="dxa"/>
            <w:gridSpan w:val="6"/>
            <w:tcBorders>
              <w:top w:val="single" w:sz="12" w:space="0" w:color="auto"/>
              <w:bottom w:val="single" w:sz="2" w:space="0" w:color="auto"/>
            </w:tcBorders>
          </w:tcPr>
          <w:p w14:paraId="6F614B3F" w14:textId="77777777" w:rsidR="009F60A1" w:rsidRPr="007C15CD" w:rsidRDefault="009F60A1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  <w:b/>
                <w:bCs/>
              </w:rPr>
              <w:t xml:space="preserve">Weighted % </w:t>
            </w:r>
          </w:p>
          <w:p w14:paraId="0A442CCD" w14:textId="3585FAA5" w:rsidR="009F60A1" w:rsidRPr="007C15CD" w:rsidRDefault="009F60A1" w:rsidP="008661D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7C15CD">
              <w:rPr>
                <w:rFonts w:ascii="Arial" w:hAnsi="Arial" w:cs="Arial"/>
                <w:b/>
                <w:bCs/>
              </w:rPr>
              <w:t>(95% CI)</w:t>
            </w:r>
          </w:p>
        </w:tc>
      </w:tr>
      <w:tr w:rsidR="00692B00" w:rsidRPr="007C15CD" w14:paraId="1735B9B8" w14:textId="77777777" w:rsidTr="001354A7">
        <w:trPr>
          <w:trHeight w:val="535"/>
        </w:trPr>
        <w:tc>
          <w:tcPr>
            <w:tcW w:w="2807" w:type="dxa"/>
            <w:tcBorders>
              <w:top w:val="single" w:sz="2" w:space="0" w:color="auto"/>
            </w:tcBorders>
          </w:tcPr>
          <w:p w14:paraId="18CFCF34" w14:textId="75D4D3D9" w:rsidR="0019264B" w:rsidRPr="00692B00" w:rsidRDefault="0019264B" w:rsidP="001354A7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B00">
              <w:rPr>
                <w:rFonts w:ascii="Arial" w:hAnsi="Arial" w:cs="Arial"/>
                <w:b/>
                <w:bCs/>
                <w:sz w:val="20"/>
                <w:szCs w:val="20"/>
              </w:rPr>
              <w:t>Frequency of cannabis use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14:paraId="774CBDF4" w14:textId="77777777" w:rsidR="0019264B" w:rsidRPr="00692B00" w:rsidRDefault="0019264B" w:rsidP="001926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auto"/>
            </w:tcBorders>
            <w:vAlign w:val="center"/>
          </w:tcPr>
          <w:p w14:paraId="56201F18" w14:textId="77777777" w:rsidR="0019264B" w:rsidRPr="00692B00" w:rsidRDefault="0019264B" w:rsidP="001926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auto"/>
            </w:tcBorders>
            <w:vAlign w:val="center"/>
          </w:tcPr>
          <w:p w14:paraId="2955B376" w14:textId="77777777" w:rsidR="0019264B" w:rsidRPr="00692B00" w:rsidRDefault="0019264B" w:rsidP="001926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2" w:space="0" w:color="auto"/>
            </w:tcBorders>
            <w:vAlign w:val="center"/>
          </w:tcPr>
          <w:p w14:paraId="57D2843E" w14:textId="77777777" w:rsidR="0019264B" w:rsidRPr="00692B00" w:rsidRDefault="0019264B" w:rsidP="001926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2" w:space="0" w:color="auto"/>
            </w:tcBorders>
            <w:vAlign w:val="center"/>
          </w:tcPr>
          <w:p w14:paraId="42281836" w14:textId="77777777" w:rsidR="0019264B" w:rsidRPr="00692B00" w:rsidRDefault="0019264B" w:rsidP="0019264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9264B" w:rsidRPr="007C15CD" w14:paraId="5CEFF191" w14:textId="77777777" w:rsidTr="00692B00">
        <w:trPr>
          <w:trHeight w:val="720"/>
        </w:trPr>
        <w:tc>
          <w:tcPr>
            <w:tcW w:w="2807" w:type="dxa"/>
          </w:tcPr>
          <w:p w14:paraId="0322831E" w14:textId="00D027FE" w:rsidR="0019264B" w:rsidRPr="00692B00" w:rsidRDefault="0019264B" w:rsidP="0019264B">
            <w:pPr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 xml:space="preserve">   Daily </w:t>
            </w:r>
          </w:p>
        </w:tc>
        <w:tc>
          <w:tcPr>
            <w:tcW w:w="1620" w:type="dxa"/>
            <w:vAlign w:val="center"/>
          </w:tcPr>
          <w:p w14:paraId="143E97D5" w14:textId="24B100DC" w:rsidR="00184732" w:rsidRPr="00692B00" w:rsidRDefault="00184732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17.7%</w:t>
            </w:r>
          </w:p>
          <w:p w14:paraId="5E0CBD02" w14:textId="2B10E542" w:rsidR="0019264B" w:rsidRPr="00692B00" w:rsidRDefault="00184732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(15.8%</w:t>
            </w:r>
            <w:r w:rsidR="003912CD" w:rsidRPr="00692B00">
              <w:rPr>
                <w:rFonts w:ascii="Arial" w:hAnsi="Arial" w:cs="Arial"/>
                <w:sz w:val="20"/>
                <w:szCs w:val="20"/>
              </w:rPr>
              <w:t>-</w:t>
            </w:r>
            <w:r w:rsidRPr="00692B00">
              <w:rPr>
                <w:rFonts w:ascii="Arial" w:hAnsi="Arial" w:cs="Arial"/>
                <w:sz w:val="20"/>
                <w:szCs w:val="20"/>
              </w:rPr>
              <w:t>19.7%)</w:t>
            </w:r>
          </w:p>
        </w:tc>
        <w:tc>
          <w:tcPr>
            <w:tcW w:w="1800" w:type="dxa"/>
            <w:vAlign w:val="center"/>
          </w:tcPr>
          <w:p w14:paraId="6A8426B4" w14:textId="357ABC42" w:rsidR="00433776" w:rsidRPr="00692B00" w:rsidRDefault="00433776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16.3%</w:t>
            </w:r>
          </w:p>
          <w:p w14:paraId="29BBEEE4" w14:textId="043AE5E3" w:rsidR="0019264B" w:rsidRPr="00692B00" w:rsidRDefault="00433776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(13.4%-19.2%)</w:t>
            </w:r>
          </w:p>
        </w:tc>
        <w:tc>
          <w:tcPr>
            <w:tcW w:w="1755" w:type="dxa"/>
            <w:vAlign w:val="center"/>
          </w:tcPr>
          <w:p w14:paraId="03E46C0D" w14:textId="4094FCA1" w:rsidR="003912CD" w:rsidRPr="00692B00" w:rsidRDefault="003912C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8.4%</w:t>
            </w:r>
          </w:p>
          <w:p w14:paraId="29C8604B" w14:textId="7BB0D9A7" w:rsidR="0019264B" w:rsidRPr="00692B00" w:rsidRDefault="003912C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(6.5%-10.2%)</w:t>
            </w:r>
          </w:p>
        </w:tc>
        <w:tc>
          <w:tcPr>
            <w:tcW w:w="1665" w:type="dxa"/>
            <w:vAlign w:val="center"/>
          </w:tcPr>
          <w:p w14:paraId="083A4F05" w14:textId="168DEF51" w:rsidR="00A11D52" w:rsidRPr="00692B00" w:rsidRDefault="007A5CF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6.4%</w:t>
            </w:r>
          </w:p>
          <w:p w14:paraId="0722F152" w14:textId="65F05C40" w:rsidR="0019264B" w:rsidRPr="00692B00" w:rsidRDefault="00A11D52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</w:t>
            </w:r>
            <w:r w:rsidR="007A5CFD" w:rsidRPr="00692B00">
              <w:rPr>
                <w:rFonts w:ascii="Arial" w:hAnsi="Arial" w:cs="Arial"/>
                <w:sz w:val="20"/>
                <w:szCs w:val="20"/>
              </w:rPr>
              <w:t>4.1%</w:t>
            </w:r>
            <w:r w:rsidRPr="00692B0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7A5CFD" w:rsidRPr="00692B00">
              <w:rPr>
                <w:rFonts w:ascii="Arial" w:hAnsi="Arial" w:cs="Arial"/>
                <w:sz w:val="20"/>
                <w:szCs w:val="20"/>
              </w:rPr>
              <w:t>8.7%</w:t>
            </w:r>
            <w:r w:rsidRPr="00692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8" w:type="dxa"/>
            <w:vAlign w:val="center"/>
          </w:tcPr>
          <w:p w14:paraId="5DFAA4EB" w14:textId="77777777" w:rsidR="00F860DD" w:rsidRPr="00692B00" w:rsidRDefault="00F860D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11.9%</w:t>
            </w:r>
            <w:r w:rsidRPr="00692B0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90829F" w14:textId="7623A830" w:rsidR="0019264B" w:rsidRPr="00692B00" w:rsidRDefault="00B049B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</w:t>
            </w:r>
            <w:r w:rsidR="00F860DD" w:rsidRPr="00692B00">
              <w:rPr>
                <w:rFonts w:ascii="Arial" w:hAnsi="Arial" w:cs="Arial"/>
                <w:sz w:val="20"/>
                <w:szCs w:val="20"/>
              </w:rPr>
              <w:t>10.7%</w:t>
            </w:r>
            <w:r w:rsidRPr="00692B00">
              <w:rPr>
                <w:rFonts w:ascii="Arial" w:hAnsi="Arial" w:cs="Arial"/>
                <w:sz w:val="20"/>
                <w:szCs w:val="20"/>
              </w:rPr>
              <w:t>-</w:t>
            </w:r>
            <w:r w:rsidR="00F860DD" w:rsidRPr="00692B00">
              <w:rPr>
                <w:rFonts w:ascii="Arial" w:hAnsi="Arial" w:cs="Arial"/>
                <w:sz w:val="20"/>
                <w:szCs w:val="20"/>
              </w:rPr>
              <w:t>13.1%</w:t>
            </w:r>
            <w:r w:rsidRPr="00692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9264B" w:rsidRPr="007C15CD" w14:paraId="057D388E" w14:textId="77777777" w:rsidTr="00692B00">
        <w:trPr>
          <w:trHeight w:val="810"/>
        </w:trPr>
        <w:tc>
          <w:tcPr>
            <w:tcW w:w="2807" w:type="dxa"/>
          </w:tcPr>
          <w:p w14:paraId="7C131F6A" w14:textId="4C9AEE00" w:rsidR="0019264B" w:rsidRPr="00692B00" w:rsidRDefault="0019264B" w:rsidP="0019264B">
            <w:pPr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 xml:space="preserve">   Weekly/monthly use </w:t>
            </w:r>
          </w:p>
        </w:tc>
        <w:tc>
          <w:tcPr>
            <w:tcW w:w="1620" w:type="dxa"/>
            <w:vAlign w:val="center"/>
          </w:tcPr>
          <w:p w14:paraId="55C2DD7B" w14:textId="2EAC7F5C" w:rsidR="00870492" w:rsidRPr="00692B00" w:rsidRDefault="00870492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12.0%</w:t>
            </w:r>
          </w:p>
          <w:p w14:paraId="04A91A40" w14:textId="3EE6584E" w:rsidR="0019264B" w:rsidRPr="00692B00" w:rsidRDefault="00870492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(10.4%-13.6%)</w:t>
            </w:r>
          </w:p>
        </w:tc>
        <w:tc>
          <w:tcPr>
            <w:tcW w:w="1800" w:type="dxa"/>
            <w:vAlign w:val="center"/>
          </w:tcPr>
          <w:p w14:paraId="247BF8AD" w14:textId="2A9EC237" w:rsidR="004F25EB" w:rsidRPr="00692B00" w:rsidRDefault="004F25EB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8.6%</w:t>
            </w:r>
          </w:p>
          <w:p w14:paraId="6660BCB9" w14:textId="2087134E" w:rsidR="0019264B" w:rsidRPr="00692B00" w:rsidRDefault="004F25EB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(6.7%-10.5%)</w:t>
            </w:r>
          </w:p>
        </w:tc>
        <w:tc>
          <w:tcPr>
            <w:tcW w:w="1755" w:type="dxa"/>
            <w:vAlign w:val="center"/>
          </w:tcPr>
          <w:p w14:paraId="7D62A05E" w14:textId="278D90FF" w:rsidR="00082145" w:rsidRPr="00692B00" w:rsidRDefault="00082145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5.8%</w:t>
            </w:r>
          </w:p>
          <w:p w14:paraId="2834FD3E" w14:textId="7893A781" w:rsidR="0019264B" w:rsidRPr="00692B00" w:rsidRDefault="00082145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(4.5%-7.1%)</w:t>
            </w:r>
          </w:p>
        </w:tc>
        <w:tc>
          <w:tcPr>
            <w:tcW w:w="1665" w:type="dxa"/>
            <w:vAlign w:val="center"/>
          </w:tcPr>
          <w:p w14:paraId="26F5C59B" w14:textId="7D005861" w:rsidR="00BF3299" w:rsidRPr="00692B00" w:rsidRDefault="00BF3299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6.5%</w:t>
            </w:r>
          </w:p>
          <w:p w14:paraId="13E40CEA" w14:textId="5946C816" w:rsidR="0019264B" w:rsidRPr="00692B00" w:rsidRDefault="00BF3299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(4.3%-8.6%)</w:t>
            </w:r>
          </w:p>
        </w:tc>
        <w:tc>
          <w:tcPr>
            <w:tcW w:w="1598" w:type="dxa"/>
            <w:vAlign w:val="center"/>
          </w:tcPr>
          <w:p w14:paraId="4D7E0C28" w14:textId="77777777" w:rsidR="00B2706D" w:rsidRPr="00692B00" w:rsidRDefault="00B2706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8.2%</w:t>
            </w:r>
            <w:r w:rsidRPr="00692B0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ED03B3C" w14:textId="78E04122" w:rsidR="0019264B" w:rsidRPr="00692B00" w:rsidRDefault="00B2706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(7.3%-9.1%)</w:t>
            </w:r>
          </w:p>
        </w:tc>
      </w:tr>
      <w:tr w:rsidR="00692B00" w:rsidRPr="007C15CD" w14:paraId="4300483C" w14:textId="77777777" w:rsidTr="00692B00">
        <w:trPr>
          <w:trHeight w:val="900"/>
        </w:trPr>
        <w:tc>
          <w:tcPr>
            <w:tcW w:w="2807" w:type="dxa"/>
          </w:tcPr>
          <w:p w14:paraId="2FEF4534" w14:textId="5B9039AF" w:rsidR="0019264B" w:rsidRPr="00692B00" w:rsidRDefault="0019264B" w:rsidP="0019264B">
            <w:pPr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 xml:space="preserve">   &lt;</w:t>
            </w:r>
            <w:r w:rsidR="00431D0D" w:rsidRPr="00692B00">
              <w:rPr>
                <w:rFonts w:ascii="Arial" w:hAnsi="Arial" w:cs="Arial"/>
                <w:sz w:val="20"/>
                <w:szCs w:val="20"/>
              </w:rPr>
              <w:t>M</w:t>
            </w:r>
            <w:r w:rsidRPr="00692B00">
              <w:rPr>
                <w:rFonts w:ascii="Arial" w:hAnsi="Arial" w:cs="Arial"/>
                <w:sz w:val="20"/>
                <w:szCs w:val="20"/>
              </w:rPr>
              <w:t xml:space="preserve">onthly </w:t>
            </w:r>
            <w:r w:rsidR="00431D0D" w:rsidRPr="00692B00">
              <w:rPr>
                <w:rFonts w:ascii="Arial" w:hAnsi="Arial" w:cs="Arial"/>
                <w:sz w:val="20"/>
                <w:szCs w:val="20"/>
              </w:rPr>
              <w:t>use</w:t>
            </w:r>
          </w:p>
        </w:tc>
        <w:tc>
          <w:tcPr>
            <w:tcW w:w="1620" w:type="dxa"/>
            <w:vAlign w:val="center"/>
          </w:tcPr>
          <w:p w14:paraId="582A8D49" w14:textId="114B87F6" w:rsidR="00EF703C" w:rsidRPr="00692B00" w:rsidRDefault="00EF703C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10.2%</w:t>
            </w:r>
          </w:p>
          <w:p w14:paraId="093E966A" w14:textId="7CE82688" w:rsidR="0019264B" w:rsidRPr="00692B00" w:rsidRDefault="00EF703C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(8.7%-11.7%)</w:t>
            </w:r>
          </w:p>
        </w:tc>
        <w:tc>
          <w:tcPr>
            <w:tcW w:w="1800" w:type="dxa"/>
            <w:vAlign w:val="center"/>
          </w:tcPr>
          <w:p w14:paraId="6ADB1F8B" w14:textId="14B9FD7B" w:rsidR="00B327D4" w:rsidRPr="00692B00" w:rsidRDefault="00B327D4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6.1%</w:t>
            </w:r>
          </w:p>
          <w:p w14:paraId="411D0EAA" w14:textId="628DDA14" w:rsidR="0019264B" w:rsidRPr="00692B00" w:rsidRDefault="00B327D4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(4.6%-7.5%)</w:t>
            </w:r>
          </w:p>
        </w:tc>
        <w:tc>
          <w:tcPr>
            <w:tcW w:w="1755" w:type="dxa"/>
            <w:vAlign w:val="center"/>
          </w:tcPr>
          <w:p w14:paraId="68A8D813" w14:textId="19ABB2A0" w:rsidR="00B327D4" w:rsidRPr="00692B00" w:rsidRDefault="00B327D4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4.8%</w:t>
            </w:r>
          </w:p>
          <w:p w14:paraId="12C86567" w14:textId="6704229E" w:rsidR="0019264B" w:rsidRPr="00692B00" w:rsidRDefault="00B327D4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(3.5%-6.2%)</w:t>
            </w:r>
          </w:p>
        </w:tc>
        <w:tc>
          <w:tcPr>
            <w:tcW w:w="1665" w:type="dxa"/>
            <w:vAlign w:val="center"/>
          </w:tcPr>
          <w:p w14:paraId="0CCC6A39" w14:textId="6AF057D3" w:rsidR="00F823C8" w:rsidRPr="00692B00" w:rsidRDefault="00F823C8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7.4%</w:t>
            </w:r>
          </w:p>
          <w:p w14:paraId="2CE6EB7F" w14:textId="1913CCC6" w:rsidR="0019264B" w:rsidRPr="00692B00" w:rsidRDefault="00F823C8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(4.8%-9.9%)</w:t>
            </w:r>
          </w:p>
        </w:tc>
        <w:tc>
          <w:tcPr>
            <w:tcW w:w="1598" w:type="dxa"/>
            <w:vAlign w:val="center"/>
          </w:tcPr>
          <w:p w14:paraId="1007685C" w14:textId="77777777" w:rsidR="00B2706D" w:rsidRPr="00692B00" w:rsidRDefault="00B2706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6.9%</w:t>
            </w:r>
            <w:r w:rsidRPr="00692B0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1E54120" w14:textId="7F17ED79" w:rsidR="0019264B" w:rsidRPr="00692B00" w:rsidRDefault="00B2706D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(6.1%-7.8%)</w:t>
            </w:r>
          </w:p>
        </w:tc>
      </w:tr>
      <w:tr w:rsidR="0019264B" w:rsidRPr="007C15CD" w14:paraId="721A3218" w14:textId="77777777" w:rsidTr="00692B00">
        <w:trPr>
          <w:trHeight w:val="710"/>
        </w:trPr>
        <w:tc>
          <w:tcPr>
            <w:tcW w:w="2807" w:type="dxa"/>
            <w:tcBorders>
              <w:bottom w:val="single" w:sz="12" w:space="0" w:color="auto"/>
            </w:tcBorders>
          </w:tcPr>
          <w:p w14:paraId="3813A033" w14:textId="7200B116" w:rsidR="0019264B" w:rsidRPr="00692B00" w:rsidRDefault="0019264B" w:rsidP="0019264B">
            <w:pPr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 xml:space="preserve">   None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03919079" w14:textId="3E3E21A3" w:rsidR="00151098" w:rsidRPr="00692B00" w:rsidRDefault="00151098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60.1%</w:t>
            </w:r>
          </w:p>
          <w:p w14:paraId="63F587E3" w14:textId="52DDB4C9" w:rsidR="0019264B" w:rsidRPr="00692B00" w:rsidRDefault="00151098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(57.6%-62.6%)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F49BB4B" w14:textId="709D4EC4" w:rsidR="00FF0F30" w:rsidRPr="00692B00" w:rsidRDefault="00FF0F30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69.0%</w:t>
            </w:r>
          </w:p>
          <w:p w14:paraId="5D6AF49E" w14:textId="0A78C79A" w:rsidR="0019264B" w:rsidRPr="00692B00" w:rsidRDefault="00FF0F30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(65.7%-72.4%)</w:t>
            </w:r>
          </w:p>
        </w:tc>
        <w:tc>
          <w:tcPr>
            <w:tcW w:w="1755" w:type="dxa"/>
            <w:tcBorders>
              <w:bottom w:val="single" w:sz="12" w:space="0" w:color="auto"/>
            </w:tcBorders>
            <w:vAlign w:val="center"/>
          </w:tcPr>
          <w:p w14:paraId="7719C632" w14:textId="5DE3AC43" w:rsidR="00FF0F30" w:rsidRPr="00692B00" w:rsidRDefault="00FF0F30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81.0%</w:t>
            </w:r>
          </w:p>
          <w:p w14:paraId="6B37337A" w14:textId="6C71FF6B" w:rsidR="0019264B" w:rsidRPr="00692B00" w:rsidRDefault="00FF0F30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(78.6%-83.4%)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vAlign w:val="center"/>
          </w:tcPr>
          <w:p w14:paraId="17E38C7A" w14:textId="77777777" w:rsidR="00036927" w:rsidRPr="00692B00" w:rsidRDefault="000B336F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79.7%</w:t>
            </w:r>
          </w:p>
          <w:p w14:paraId="3FBEC69B" w14:textId="597784CC" w:rsidR="0019264B" w:rsidRPr="00692B00" w:rsidRDefault="00036927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</w:t>
            </w:r>
            <w:r w:rsidR="000B336F" w:rsidRPr="00692B00">
              <w:rPr>
                <w:rFonts w:ascii="Arial" w:hAnsi="Arial" w:cs="Arial"/>
                <w:sz w:val="20"/>
                <w:szCs w:val="20"/>
              </w:rPr>
              <w:t>76.1%</w:t>
            </w:r>
            <w:r w:rsidRPr="00692B00">
              <w:rPr>
                <w:rFonts w:ascii="Arial" w:hAnsi="Arial" w:cs="Arial"/>
                <w:sz w:val="20"/>
                <w:szCs w:val="20"/>
              </w:rPr>
              <w:t>-</w:t>
            </w:r>
            <w:r w:rsidR="000B336F" w:rsidRPr="00692B00">
              <w:rPr>
                <w:rFonts w:ascii="Arial" w:hAnsi="Arial" w:cs="Arial"/>
                <w:sz w:val="20"/>
                <w:szCs w:val="20"/>
              </w:rPr>
              <w:t>83.4%</w:t>
            </w:r>
            <w:r w:rsidRPr="00692B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54E0909E" w14:textId="77777777" w:rsidR="000B5BF0" w:rsidRPr="00692B00" w:rsidRDefault="000B5BF0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73.0%</w:t>
            </w:r>
            <w:r w:rsidRPr="00692B0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4D608BF" w14:textId="514FF5D6" w:rsidR="0019264B" w:rsidRPr="00692B00" w:rsidRDefault="000B5BF0" w:rsidP="00D44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B00">
              <w:rPr>
                <w:rFonts w:ascii="Arial" w:hAnsi="Arial" w:cs="Arial"/>
                <w:sz w:val="20"/>
                <w:szCs w:val="20"/>
              </w:rPr>
              <w:t>(71.4%-74.5%)</w:t>
            </w:r>
          </w:p>
        </w:tc>
      </w:tr>
    </w:tbl>
    <w:p w14:paraId="51C72411" w14:textId="068E4FDC" w:rsidR="003F5C30" w:rsidRPr="00F65A00" w:rsidRDefault="007A201A" w:rsidP="00F370FA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A201A">
        <w:rPr>
          <w:rFonts w:ascii="Arial" w:hAnsi="Arial" w:cs="Arial"/>
        </w:rPr>
        <w:t xml:space="preserve">eighted descriptive statistics (‘proc </w:t>
      </w:r>
      <w:proofErr w:type="spellStart"/>
      <w:r w:rsidRPr="007A201A">
        <w:rPr>
          <w:rFonts w:ascii="Arial" w:hAnsi="Arial" w:cs="Arial"/>
        </w:rPr>
        <w:t>surveyfreq</w:t>
      </w:r>
      <w:proofErr w:type="spellEnd"/>
      <w:r w:rsidRPr="007A201A">
        <w:rPr>
          <w:rFonts w:ascii="Arial" w:hAnsi="Arial" w:cs="Arial"/>
        </w:rPr>
        <w:t>’) were used to derive conditional estimates</w:t>
      </w:r>
      <w:r>
        <w:rPr>
          <w:rFonts w:ascii="Arial" w:hAnsi="Arial" w:cs="Arial"/>
        </w:rPr>
        <w:t>.</w:t>
      </w:r>
      <w:r w:rsidRPr="007A201A">
        <w:rPr>
          <w:rFonts w:ascii="Arial" w:hAnsi="Arial" w:cs="Arial"/>
        </w:rPr>
        <w:t xml:space="preserve"> </w:t>
      </w:r>
      <w:r w:rsidR="00472D04" w:rsidRPr="00472D04">
        <w:rPr>
          <w:rFonts w:ascii="Arial" w:hAnsi="Arial" w:cs="Arial"/>
        </w:rPr>
        <w:t xml:space="preserve">Current frequency of cannabis use: (1) ‘daily cannabis use’; (2) ‘less than daily, but at least weekly/monthly cannabis use’; (3) ‘less than monthly (occasional) use and used it in the last year’; or (4) ‘no current cannabis use’ (never used/quit using it/have not used it in the last year). </w:t>
      </w:r>
      <w:r w:rsidR="003F5C30" w:rsidRPr="00F65A00">
        <w:rPr>
          <w:rFonts w:ascii="Arial" w:hAnsi="Arial" w:cs="Arial"/>
        </w:rPr>
        <w:br w:type="page"/>
      </w:r>
    </w:p>
    <w:p w14:paraId="2DBB5009" w14:textId="4196D070" w:rsidR="00CF61CB" w:rsidRPr="00AC15AB" w:rsidRDefault="00CF61CB" w:rsidP="00F6501B">
      <w:pPr>
        <w:jc w:val="center"/>
        <w:rPr>
          <w:rFonts w:ascii="Arial" w:hAnsi="Arial" w:cs="Arial"/>
        </w:rPr>
      </w:pPr>
      <w:r w:rsidRPr="00AC15AB">
        <w:rPr>
          <w:rFonts w:ascii="Arial" w:hAnsi="Arial" w:cs="Arial"/>
          <w:b/>
          <w:bCs/>
        </w:rPr>
        <w:lastRenderedPageBreak/>
        <w:t xml:space="preserve">Supplemental Table </w:t>
      </w:r>
      <w:r w:rsidR="003F5C30">
        <w:rPr>
          <w:rFonts w:ascii="Arial" w:hAnsi="Arial" w:cs="Arial"/>
          <w:b/>
          <w:bCs/>
        </w:rPr>
        <w:t>2</w:t>
      </w:r>
      <w:r w:rsidRPr="00AC15AB">
        <w:rPr>
          <w:rFonts w:ascii="Arial" w:hAnsi="Arial" w:cs="Arial"/>
          <w:b/>
          <w:bCs/>
        </w:rPr>
        <w:t>.</w:t>
      </w:r>
      <w:r w:rsidRPr="00AC15AB">
        <w:rPr>
          <w:rFonts w:ascii="Arial" w:hAnsi="Arial" w:cs="Arial"/>
        </w:rPr>
        <w:t xml:space="preserve"> Two-way interaction effects</w:t>
      </w:r>
      <w:r w:rsidR="002C4396">
        <w:rPr>
          <w:rFonts w:ascii="Arial" w:hAnsi="Arial" w:cs="Arial"/>
        </w:rPr>
        <w:t xml:space="preserve"> between cannabis use, high-risk alcohol use and depressive symptomology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6024"/>
        <w:gridCol w:w="811"/>
        <w:gridCol w:w="705"/>
        <w:gridCol w:w="810"/>
        <w:gridCol w:w="992"/>
      </w:tblGrid>
      <w:tr w:rsidR="004D6552" w:rsidRPr="009F52D0" w14:paraId="52903677" w14:textId="77777777" w:rsidTr="004D6552">
        <w:trPr>
          <w:trHeight w:val="285"/>
        </w:trPr>
        <w:tc>
          <w:tcPr>
            <w:tcW w:w="9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09851C02" w14:textId="0F4B6658" w:rsidR="009170A9" w:rsidRPr="009F52D0" w:rsidRDefault="009170A9" w:rsidP="00917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Two-way interaction test on motivation to quit smoking</w:t>
            </w:r>
          </w:p>
        </w:tc>
      </w:tr>
      <w:tr w:rsidR="004D6552" w:rsidRPr="009F52D0" w14:paraId="44277CC4" w14:textId="77777777" w:rsidTr="008B78DA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018666D9" w14:textId="77777777" w:rsidR="009170A9" w:rsidRPr="009F52D0" w:rsidRDefault="009170A9" w:rsidP="009170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Effect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1C2450BA" w14:textId="77777777" w:rsidR="009170A9" w:rsidRPr="009F52D0" w:rsidRDefault="009170A9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3839A466" w14:textId="77777777" w:rsidR="009170A9" w:rsidRPr="009F52D0" w:rsidRDefault="009170A9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Num 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16649E35" w14:textId="77777777" w:rsidR="009170A9" w:rsidRPr="009F52D0" w:rsidRDefault="009170A9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Den DF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  <w:hideMark/>
          </w:tcPr>
          <w:p w14:paraId="2D161B71" w14:textId="77777777" w:rsidR="009170A9" w:rsidRPr="009F52D0" w:rsidRDefault="009170A9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Pr &gt; F</w:t>
            </w:r>
          </w:p>
        </w:tc>
      </w:tr>
      <w:tr w:rsidR="004D6552" w:rsidRPr="009F52D0" w14:paraId="69C33960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9EA4651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High-risk alcohol use (ALC)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6678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1.26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E9A7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806A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26B1" w14:textId="7E3AF642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0.26</w:t>
            </w:r>
          </w:p>
        </w:tc>
      </w:tr>
      <w:tr w:rsidR="004D6552" w:rsidRPr="009F52D0" w14:paraId="4451AA34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17D195B" w14:textId="42C9CA57" w:rsidR="005D2ACD" w:rsidRPr="009F52D0" w:rsidRDefault="00D8545E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Frequency of c</w:t>
            </w:r>
            <w:r w:rsidR="005D2ACD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annabis use (CAN)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66BD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0.29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40B9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B2E8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1C84" w14:textId="08421826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0.83</w:t>
            </w:r>
          </w:p>
        </w:tc>
      </w:tr>
      <w:tr w:rsidR="004D6552" w:rsidRPr="009F52D0" w14:paraId="1DFB87B4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BFB53DA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Depressive symptoms (DEP)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8632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7.3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0841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6228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6961" w14:textId="5B3BC682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0.007</w:t>
            </w:r>
          </w:p>
        </w:tc>
      </w:tr>
      <w:tr w:rsidR="004D6552" w:rsidRPr="009F52D0" w14:paraId="32F5912B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591D995" w14:textId="6099469A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Age</w:t>
            </w:r>
            <w:r w:rsidR="003E525E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group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71F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F2F9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3E2F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5122" w14:textId="41BEFB5F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0.80</w:t>
            </w:r>
          </w:p>
        </w:tc>
      </w:tr>
      <w:tr w:rsidR="004D6552" w:rsidRPr="009F52D0" w14:paraId="437350DE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1CEF65E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Sex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1C29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3.04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2A96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803A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12B5" w14:textId="5B778AE0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0.08</w:t>
            </w:r>
          </w:p>
        </w:tc>
      </w:tr>
      <w:tr w:rsidR="004D6552" w:rsidRPr="009F52D0" w14:paraId="1D1E3986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9F22772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Country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0F3E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15.55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744C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58FC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7910" w14:textId="69B9044F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&lt;.0001</w:t>
            </w:r>
          </w:p>
        </w:tc>
      </w:tr>
      <w:tr w:rsidR="004D6552" w:rsidRPr="009F52D0" w14:paraId="3D95A698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B9193EF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Income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11E4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180B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2B06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5488" w14:textId="380EFEA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0.77</w:t>
            </w:r>
          </w:p>
        </w:tc>
      </w:tr>
      <w:tr w:rsidR="004D6552" w:rsidRPr="009F52D0" w14:paraId="2B2C5C79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124F01C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Education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224F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1D1E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01CF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29FB" w14:textId="2D826581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0.73</w:t>
            </w:r>
          </w:p>
        </w:tc>
      </w:tr>
      <w:tr w:rsidR="004D6552" w:rsidRPr="009F52D0" w14:paraId="678765C2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FE46313" w14:textId="540D094D" w:rsidR="005D2ACD" w:rsidRPr="009F52D0" w:rsidRDefault="00963EFF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Race/e</w:t>
            </w:r>
            <w:r w:rsidR="005D2ACD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thnicity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B6ED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4.05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98F0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E5CF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2000" w14:textId="1673DB84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0.04</w:t>
            </w:r>
          </w:p>
        </w:tc>
      </w:tr>
      <w:tr w:rsidR="004D6552" w:rsidRPr="009F52D0" w14:paraId="220674D9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057A170" w14:textId="116843DF" w:rsidR="005D2ACD" w:rsidRPr="009F52D0" w:rsidRDefault="00105F93" w:rsidP="005D2A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Cigarettes smoked per day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16FC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0.86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9E75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D157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9A1F" w14:textId="57C364C5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0.42</w:t>
            </w:r>
          </w:p>
        </w:tc>
      </w:tr>
      <w:tr w:rsidR="004D6552" w:rsidRPr="009F52D0" w14:paraId="42350BC9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6CBD7DA6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ALC*CAN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3AD2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0.73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6B53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B3E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3D4A" w14:textId="08AA708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0.53</w:t>
            </w:r>
          </w:p>
        </w:tc>
      </w:tr>
      <w:tr w:rsidR="004D6552" w:rsidRPr="009F52D0" w14:paraId="23F23E96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811F7F0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ALC*DEP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477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0.26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FE80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431A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04AE" w14:textId="0A43B922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0.61</w:t>
            </w:r>
          </w:p>
        </w:tc>
      </w:tr>
      <w:tr w:rsidR="004D6552" w:rsidRPr="009F52D0" w14:paraId="2EB311BF" w14:textId="77777777" w:rsidTr="004D6552"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F57BCE4" w14:textId="77777777" w:rsidR="005D2ACD" w:rsidRPr="009F52D0" w:rsidRDefault="005D2ACD" w:rsidP="005D2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CAN*ALC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A62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1.03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A3E2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C402" w14:textId="77777777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4F54" w14:textId="29DFDE31" w:rsidR="005D2ACD" w:rsidRPr="009F52D0" w:rsidRDefault="005D2ACD" w:rsidP="00A223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0.38</w:t>
            </w:r>
          </w:p>
        </w:tc>
      </w:tr>
      <w:tr w:rsidR="004D6552" w:rsidRPr="009F52D0" w14:paraId="25010902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9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92804" w14:textId="77777777" w:rsidR="008D68A2" w:rsidRPr="009F52D0" w:rsidRDefault="008D68A2" w:rsidP="008D68A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Two-way interaction test on past year quit attempts</w:t>
            </w:r>
          </w:p>
        </w:tc>
      </w:tr>
      <w:tr w:rsidR="004D6552" w:rsidRPr="009F52D0" w14:paraId="62E4DED5" w14:textId="77777777" w:rsidTr="008B78DA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4641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Effect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EBC0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F Value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3112C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Num DF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9875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Den DF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8150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Pr &gt; F</w:t>
            </w:r>
          </w:p>
        </w:tc>
      </w:tr>
      <w:tr w:rsidR="004D6552" w:rsidRPr="009F52D0" w14:paraId="16E18B74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58C7E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High-risk alcohol use (ALC)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B5B98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3.51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5BB4C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F3930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1B38A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0.06</w:t>
            </w:r>
          </w:p>
        </w:tc>
      </w:tr>
      <w:tr w:rsidR="004D6552" w:rsidRPr="009F52D0" w14:paraId="4692074D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F9E35" w14:textId="3C0E376D" w:rsidR="008D68A2" w:rsidRPr="009F52D0" w:rsidRDefault="003E525E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Frequency of cannabis use </w:t>
            </w:r>
            <w:r w:rsidR="008D68A2" w:rsidRPr="009F52D0">
              <w:rPr>
                <w:rFonts w:ascii="Arial" w:hAnsi="Arial" w:cs="Arial"/>
                <w:sz w:val="21"/>
                <w:szCs w:val="21"/>
              </w:rPr>
              <w:t>(CAN)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3285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1.09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FD4EE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8ACA5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E4EC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0.35</w:t>
            </w:r>
          </w:p>
        </w:tc>
      </w:tr>
      <w:tr w:rsidR="004D6552" w:rsidRPr="009F52D0" w14:paraId="793DE7CA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EFF72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Depressive symptoms (DEP)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A9687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10.34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D71EB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47F2AE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BA6F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0.001</w:t>
            </w:r>
          </w:p>
        </w:tc>
      </w:tr>
      <w:tr w:rsidR="004D6552" w:rsidRPr="009F52D0" w14:paraId="30CB7568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21929" w14:textId="2D1A82C8" w:rsidR="008D68A2" w:rsidRPr="009F52D0" w:rsidRDefault="003E525E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Age group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C18AE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20.19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B9C6E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D2445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52BBA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&lt;.0001</w:t>
            </w:r>
          </w:p>
        </w:tc>
      </w:tr>
      <w:tr w:rsidR="004D6552" w:rsidRPr="009F52D0" w14:paraId="40B8C009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3F3C5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Sex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B9000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03C1E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F4F4B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EEF4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0.31</w:t>
            </w:r>
          </w:p>
        </w:tc>
      </w:tr>
      <w:tr w:rsidR="004D6552" w:rsidRPr="009F52D0" w14:paraId="2D8559AD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BF85B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Country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381CC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17.36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70E34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8C957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10763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&lt;.0001</w:t>
            </w:r>
          </w:p>
        </w:tc>
      </w:tr>
      <w:tr w:rsidR="004D6552" w:rsidRPr="009F52D0" w14:paraId="2B54B634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E0D39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Income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E3992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3.68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3653D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FAEC7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0C510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0.012</w:t>
            </w:r>
          </w:p>
        </w:tc>
      </w:tr>
      <w:tr w:rsidR="004D6552" w:rsidRPr="009F52D0" w14:paraId="13C92209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EB5FD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Education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8A797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3.19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22F49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CDEC9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81A3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0.041</w:t>
            </w:r>
          </w:p>
        </w:tc>
      </w:tr>
      <w:tr w:rsidR="004D6552" w:rsidRPr="009F52D0" w14:paraId="6FD8A971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B6240" w14:textId="51B21639" w:rsidR="008D68A2" w:rsidRPr="009F52D0" w:rsidRDefault="00963EFF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Race/ethnicity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506D1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9.04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6A66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5A92A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78F7E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0.003</w:t>
            </w:r>
          </w:p>
        </w:tc>
      </w:tr>
      <w:tr w:rsidR="004D6552" w:rsidRPr="009F52D0" w14:paraId="5375B24A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937A1" w14:textId="4621DBAB" w:rsidR="008D68A2" w:rsidRPr="009F52D0" w:rsidRDefault="00105F93" w:rsidP="008D68A2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Cigarettes smoked per day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804C3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7.07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B8E8C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8654E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7007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33003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F52D0">
              <w:rPr>
                <w:rFonts w:ascii="Arial" w:hAnsi="Arial" w:cs="Arial"/>
                <w:sz w:val="21"/>
                <w:szCs w:val="21"/>
              </w:rPr>
              <w:t>0.0009</w:t>
            </w:r>
          </w:p>
        </w:tc>
      </w:tr>
      <w:tr w:rsidR="004D6552" w:rsidRPr="009F52D0" w14:paraId="05FA256E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59A7F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ALC*CAN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4DD44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0.68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95F74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FD89B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588B3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0.57</w:t>
            </w:r>
          </w:p>
        </w:tc>
      </w:tr>
      <w:tr w:rsidR="004D6552" w:rsidRPr="009F52D0" w14:paraId="7273540F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A9DBD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ALC*DEP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23F04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0.74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850BF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E967D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7008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010DB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0.39</w:t>
            </w:r>
          </w:p>
        </w:tc>
      </w:tr>
      <w:tr w:rsidR="004D6552" w:rsidRPr="009F52D0" w14:paraId="2E6DBB7D" w14:textId="77777777" w:rsidTr="004D6552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6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CAD9F" w14:textId="77777777" w:rsidR="008D68A2" w:rsidRPr="009F52D0" w:rsidRDefault="008D68A2" w:rsidP="008D68A2">
            <w:pPr>
              <w:spacing w:after="0"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CAN*ALC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956F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1.81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ABA04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ED425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7006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D34C1" w14:textId="77777777" w:rsidR="008D68A2" w:rsidRPr="009F52D0" w:rsidRDefault="008D68A2" w:rsidP="00A223E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F52D0">
              <w:rPr>
                <w:rFonts w:ascii="Arial" w:hAnsi="Arial" w:cs="Arial"/>
                <w:b/>
                <w:bCs/>
                <w:sz w:val="21"/>
                <w:szCs w:val="21"/>
              </w:rPr>
              <w:t>0.14</w:t>
            </w:r>
          </w:p>
        </w:tc>
      </w:tr>
    </w:tbl>
    <w:p w14:paraId="188B4C6B" w14:textId="161C74A5" w:rsidR="00CF61CB" w:rsidRPr="00B4043C" w:rsidRDefault="008D68A2">
      <w:pPr>
        <w:rPr>
          <w:rFonts w:ascii="Arial" w:hAnsi="Arial" w:cs="Arial"/>
          <w:sz w:val="19"/>
          <w:szCs w:val="19"/>
        </w:rPr>
      </w:pPr>
      <w:r w:rsidRPr="00B4043C">
        <w:rPr>
          <w:rFonts w:ascii="Arial" w:hAnsi="Arial" w:cs="Arial"/>
          <w:sz w:val="19"/>
          <w:szCs w:val="19"/>
        </w:rPr>
        <w:t xml:space="preserve"> </w:t>
      </w:r>
      <w:r w:rsidR="00D1377D" w:rsidRPr="00B4043C">
        <w:rPr>
          <w:rFonts w:ascii="Arial" w:hAnsi="Arial" w:cs="Arial"/>
          <w:sz w:val="19"/>
          <w:szCs w:val="19"/>
        </w:rPr>
        <w:t xml:space="preserve">All variables are categorical. </w:t>
      </w:r>
      <w:r w:rsidR="003C5D65" w:rsidRPr="003C5D65">
        <w:rPr>
          <w:rFonts w:ascii="Arial" w:hAnsi="Arial" w:cs="Arial"/>
          <w:sz w:val="19"/>
          <w:szCs w:val="19"/>
        </w:rPr>
        <w:t>Current frequency of cannabis use: (1) ‘daily cannabis use’; (2) ‘less than daily, but at least weekly/monthly cannabis use’; (3) ‘less than monthly (occasional) use and used it in the last year’; or (4) ‘no current cannabis use’ (never used/quit using it/have not used it in the last year)</w:t>
      </w:r>
      <w:r w:rsidR="002A485E" w:rsidRPr="00B4043C">
        <w:rPr>
          <w:rFonts w:ascii="Arial" w:hAnsi="Arial" w:cs="Arial"/>
          <w:sz w:val="19"/>
          <w:szCs w:val="19"/>
        </w:rPr>
        <w:t>. Alcohol consumption was defined using the National Institute on Alcohol Abuse and Alcoholism’s definition (NIAAA), where levels of alcohol use are defined as “low risk” (≤4 drinks per occasion for men, ≤2 drinks per occasion for women) and “high risk” (≥5 drinks per occasion for men, ≥3 drinks per occasion for women, and ≥6 drinks on a single occasion at least once a month for men and women). All respondents were screened for past 30-day depressive symptomology using the two-question case finding instrument (TQI) for depression. Respondents who reported ‘yes’ to both questions were classified as screening positive for depressive symptoms.</w:t>
      </w:r>
      <w:r w:rsidR="00356068" w:rsidRPr="00B4043C">
        <w:rPr>
          <w:rFonts w:ascii="Arial" w:hAnsi="Arial" w:cs="Arial"/>
          <w:sz w:val="19"/>
          <w:szCs w:val="19"/>
        </w:rPr>
        <w:t xml:space="preserve"> Cigarettes smoked per day: ‘1-10’, ’11-20’, or ‘21+’</w:t>
      </w:r>
      <w:r w:rsidR="003E711C" w:rsidRPr="00B4043C">
        <w:rPr>
          <w:rFonts w:ascii="Arial" w:hAnsi="Arial" w:cs="Arial"/>
          <w:sz w:val="19"/>
          <w:szCs w:val="19"/>
        </w:rPr>
        <w:t xml:space="preserve">. </w:t>
      </w:r>
      <w:r w:rsidR="00CF61CB" w:rsidRPr="00B4043C">
        <w:rPr>
          <w:rFonts w:ascii="Arial" w:hAnsi="Arial" w:cs="Arial"/>
          <w:sz w:val="19"/>
          <w:szCs w:val="19"/>
        </w:rPr>
        <w:br w:type="page"/>
      </w:r>
    </w:p>
    <w:p w14:paraId="75B3A019" w14:textId="32F3AF83" w:rsidR="00EF3677" w:rsidRPr="00AC15AB" w:rsidRDefault="00FA2C8A" w:rsidP="00F6501B">
      <w:pPr>
        <w:jc w:val="center"/>
        <w:rPr>
          <w:rFonts w:ascii="Arial" w:hAnsi="Arial" w:cs="Arial"/>
        </w:rPr>
      </w:pPr>
      <w:r w:rsidRPr="00AC15AB">
        <w:rPr>
          <w:rFonts w:ascii="Arial" w:hAnsi="Arial" w:cs="Arial"/>
          <w:b/>
          <w:bCs/>
        </w:rPr>
        <w:lastRenderedPageBreak/>
        <w:t xml:space="preserve">Supplemental Table </w:t>
      </w:r>
      <w:r w:rsidR="003F5C30">
        <w:rPr>
          <w:rFonts w:ascii="Arial" w:hAnsi="Arial" w:cs="Arial"/>
          <w:b/>
          <w:bCs/>
        </w:rPr>
        <w:t>3</w:t>
      </w:r>
      <w:r w:rsidRPr="00AC15AB">
        <w:rPr>
          <w:rFonts w:ascii="Arial" w:hAnsi="Arial" w:cs="Arial"/>
          <w:b/>
          <w:bCs/>
        </w:rPr>
        <w:t>.</w:t>
      </w:r>
      <w:r w:rsidRPr="00AC15AB">
        <w:rPr>
          <w:rFonts w:ascii="Arial" w:hAnsi="Arial" w:cs="Arial"/>
        </w:rPr>
        <w:t xml:space="preserve"> </w:t>
      </w:r>
      <w:r w:rsidR="00D27EB5" w:rsidRPr="00AC15AB">
        <w:rPr>
          <w:rFonts w:ascii="Arial" w:hAnsi="Arial" w:cs="Arial"/>
        </w:rPr>
        <w:t xml:space="preserve">Three-way interaction </w:t>
      </w:r>
      <w:r w:rsidRPr="00AC15AB">
        <w:rPr>
          <w:rFonts w:ascii="Arial" w:hAnsi="Arial" w:cs="Arial"/>
        </w:rPr>
        <w:t>effects</w:t>
      </w:r>
      <w:r w:rsidR="00BB74AB">
        <w:rPr>
          <w:rFonts w:ascii="Arial" w:hAnsi="Arial" w:cs="Arial"/>
        </w:rPr>
        <w:t xml:space="preserve"> between cannabis use, high-risk alcohol use and depressive symptomology</w:t>
      </w:r>
    </w:p>
    <w:tbl>
      <w:tblPr>
        <w:tblW w:w="9355" w:type="dxa"/>
        <w:tblInd w:w="-5" w:type="dxa"/>
        <w:tblLook w:val="04A0" w:firstRow="1" w:lastRow="0" w:firstColumn="1" w:lastColumn="0" w:noHBand="0" w:noVBand="1"/>
      </w:tblPr>
      <w:tblGrid>
        <w:gridCol w:w="5974"/>
        <w:gridCol w:w="29"/>
        <w:gridCol w:w="898"/>
        <w:gridCol w:w="705"/>
        <w:gridCol w:w="731"/>
        <w:gridCol w:w="1018"/>
      </w:tblGrid>
      <w:tr w:rsidR="00BB74AB" w:rsidRPr="009F52D0" w14:paraId="398854BA" w14:textId="77777777" w:rsidTr="0061730D">
        <w:trPr>
          <w:trHeight w:val="285"/>
        </w:trPr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2FC5277B" w14:textId="761E4A7C" w:rsidR="00397549" w:rsidRPr="009F52D0" w:rsidRDefault="00397549" w:rsidP="003975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Three-way interaction test on motivation to quit smoking</w:t>
            </w:r>
          </w:p>
        </w:tc>
      </w:tr>
      <w:tr w:rsidR="0061730D" w:rsidRPr="009F52D0" w14:paraId="5DC32925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3E274281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Effect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032F2E07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440569E1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Num DF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1EBBC472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Den DF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246BFC84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Pr &gt; F</w:t>
            </w:r>
          </w:p>
        </w:tc>
      </w:tr>
      <w:tr w:rsidR="0061730D" w:rsidRPr="009F52D0" w14:paraId="0514BB47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230E5E70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High-risk alcohol use (ALC)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9BB09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4BFF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35B3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9F97B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0.33</w:t>
            </w:r>
          </w:p>
        </w:tc>
      </w:tr>
      <w:tr w:rsidR="0061730D" w:rsidRPr="009F52D0" w14:paraId="5705E5B2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0761533C" w14:textId="3E3D117C" w:rsidR="00397549" w:rsidRPr="009F52D0" w:rsidRDefault="00195C57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Frequency of cannabis use </w:t>
            </w:r>
            <w:r w:rsidRPr="009F52D0">
              <w:rPr>
                <w:rFonts w:ascii="Arial" w:hAnsi="Arial" w:cs="Arial"/>
                <w:sz w:val="21"/>
                <w:szCs w:val="21"/>
              </w:rPr>
              <w:t>(CAN)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2E05E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3923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B606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FADE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0.81</w:t>
            </w:r>
          </w:p>
        </w:tc>
      </w:tr>
      <w:tr w:rsidR="0061730D" w:rsidRPr="009F52D0" w14:paraId="5011FE36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1849CFB5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Depressive symptoms (DEP)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217C3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678D7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6CA9D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C233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0.006</w:t>
            </w:r>
          </w:p>
        </w:tc>
      </w:tr>
      <w:tr w:rsidR="0061730D" w:rsidRPr="009F52D0" w14:paraId="0889357A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5D5235BB" w14:textId="2F55B153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Age</w:t>
            </w:r>
            <w:r w:rsidR="00195C57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group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43827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AF541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8439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4EBA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0.82</w:t>
            </w:r>
          </w:p>
        </w:tc>
      </w:tr>
      <w:tr w:rsidR="0061730D" w:rsidRPr="009F52D0" w14:paraId="10DB6AE0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12D53F32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Sex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2BA5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5218C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D212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BF10E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0.07</w:t>
            </w:r>
          </w:p>
        </w:tc>
      </w:tr>
      <w:tr w:rsidR="0061730D" w:rsidRPr="009F52D0" w14:paraId="618D2AFC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4C9FBD1C" w14:textId="04FF7420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</w:t>
            </w:r>
            <w:r w:rsidR="006C237D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ountry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BBAE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ADA41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B380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9FEB4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&lt;.0001</w:t>
            </w:r>
          </w:p>
        </w:tc>
      </w:tr>
      <w:tr w:rsidR="0061730D" w:rsidRPr="009F52D0" w14:paraId="6F8FF417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7FB6FF74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Income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F349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11F6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C70E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6693C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0.78</w:t>
            </w:r>
          </w:p>
        </w:tc>
      </w:tr>
      <w:tr w:rsidR="0061730D" w:rsidRPr="009F52D0" w14:paraId="4BADDBD4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009419A2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Education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81851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CBAB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7482B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8CC9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0.71</w:t>
            </w:r>
          </w:p>
        </w:tc>
      </w:tr>
      <w:tr w:rsidR="0061730D" w:rsidRPr="009F52D0" w14:paraId="6995602B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67D72190" w14:textId="2AD8839D" w:rsidR="00397549" w:rsidRPr="009F52D0" w:rsidRDefault="00963EFF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Race/ethnicity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F9171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B66C2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D79F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E2F9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0.038</w:t>
            </w:r>
          </w:p>
        </w:tc>
      </w:tr>
      <w:tr w:rsidR="0061730D" w:rsidRPr="009F52D0" w14:paraId="70EDF007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22973940" w14:textId="2376AAC1" w:rsidR="00397549" w:rsidRPr="009F52D0" w:rsidRDefault="00105F93" w:rsidP="003975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Cigarettes smoked per day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C07BF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E668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0EA36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60FEE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0.44</w:t>
            </w:r>
          </w:p>
        </w:tc>
      </w:tr>
      <w:tr w:rsidR="0061730D" w:rsidRPr="009F52D0" w14:paraId="3856813F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731E4330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ALC*CAN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47202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6B462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2DE9B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2B354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0.29</w:t>
            </w:r>
          </w:p>
        </w:tc>
      </w:tr>
      <w:tr w:rsidR="0061730D" w:rsidRPr="009F52D0" w14:paraId="6A38B4AB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69A91EA8" w14:textId="584732ED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</w:t>
            </w:r>
            <w:r w:rsidR="00DB1DEA"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*</w:t>
            </w: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DEP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A0BE5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0324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069B2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3C7E7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0.58</w:t>
            </w:r>
          </w:p>
        </w:tc>
      </w:tr>
      <w:tr w:rsidR="0061730D" w:rsidRPr="009F52D0" w14:paraId="0D2B7007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1C77F677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CAN*ALC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6EDC0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B344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933B6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9845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0.40</w:t>
            </w:r>
          </w:p>
        </w:tc>
      </w:tr>
      <w:tr w:rsidR="0061730D" w:rsidRPr="009F52D0" w14:paraId="35CE7F78" w14:textId="77777777" w:rsidTr="0061730D">
        <w:trPr>
          <w:trHeight w:val="285"/>
        </w:trPr>
        <w:tc>
          <w:tcPr>
            <w:tcW w:w="5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567571AB" w14:textId="77777777" w:rsidR="00397549" w:rsidRPr="009F52D0" w:rsidRDefault="00397549" w:rsidP="003975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ALC*CAN*DEP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67EA4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54B66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A383C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C27C6" w14:textId="77777777" w:rsidR="00397549" w:rsidRPr="009F52D0" w:rsidRDefault="00397549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0.12</w:t>
            </w:r>
          </w:p>
        </w:tc>
      </w:tr>
      <w:tr w:rsidR="00BB74AB" w:rsidRPr="009F52D0" w14:paraId="12B6CFE7" w14:textId="77777777" w:rsidTr="0061730D">
        <w:trPr>
          <w:trHeight w:val="285"/>
        </w:trPr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636AC93B" w14:textId="36607477" w:rsidR="00FA2C8A" w:rsidRPr="009F52D0" w:rsidRDefault="00A87C43" w:rsidP="00FA2C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Three-way interaction </w:t>
            </w:r>
            <w:r w:rsidR="00397549"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 xml:space="preserve">test </w:t>
            </w:r>
            <w:r w:rsidR="008B2F52"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on past year quit attempts</w:t>
            </w:r>
          </w:p>
        </w:tc>
      </w:tr>
      <w:tr w:rsidR="0061730D" w:rsidRPr="009F52D0" w14:paraId="5BDA69E8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0A5280E0" w14:textId="77777777" w:rsidR="00FA2C8A" w:rsidRPr="009F52D0" w:rsidRDefault="00FA2C8A" w:rsidP="00FA2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Effect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1A26CE72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F Value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5DCAA050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Num DF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4175000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Den DF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vAlign w:val="bottom"/>
            <w:hideMark/>
          </w:tcPr>
          <w:p w14:paraId="408F7DD0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Pr &gt; F</w:t>
            </w:r>
          </w:p>
        </w:tc>
      </w:tr>
      <w:tr w:rsidR="0061730D" w:rsidRPr="009F52D0" w14:paraId="3481770A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651DBED9" w14:textId="62E17FE8" w:rsidR="00FA2C8A" w:rsidRPr="009F52D0" w:rsidRDefault="00FA2C8A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High-risk alcohol use</w:t>
            </w:r>
            <w:r w:rsidR="00961C35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(ALC)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F754E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40F72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67A7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21FFA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0.081</w:t>
            </w:r>
          </w:p>
        </w:tc>
      </w:tr>
      <w:tr w:rsidR="0061730D" w:rsidRPr="009F52D0" w14:paraId="4E4A08BF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65C07D78" w14:textId="63B1FA01" w:rsidR="00FA2C8A" w:rsidRPr="009F52D0" w:rsidRDefault="00195C57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Frequency of cannabis use </w:t>
            </w:r>
            <w:r w:rsidRPr="009F52D0">
              <w:rPr>
                <w:rFonts w:ascii="Arial" w:hAnsi="Arial" w:cs="Arial"/>
                <w:sz w:val="21"/>
                <w:szCs w:val="21"/>
              </w:rPr>
              <w:t>(CAN)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A3F5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7872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7BB6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7EE33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0.38</w:t>
            </w:r>
          </w:p>
        </w:tc>
      </w:tr>
      <w:tr w:rsidR="0061730D" w:rsidRPr="009F52D0" w14:paraId="0A7D4F50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093E68A6" w14:textId="486E5133" w:rsidR="00FA2C8A" w:rsidRPr="009F52D0" w:rsidRDefault="00FA2C8A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</w:t>
            </w:r>
            <w:r w:rsidR="00D002F4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epressive symptoms</w:t>
            </w:r>
            <w:r w:rsidR="00961C35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(DEP)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152F1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7A896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B75CE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4EA9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0.001</w:t>
            </w:r>
          </w:p>
        </w:tc>
      </w:tr>
      <w:tr w:rsidR="0061730D" w:rsidRPr="009F52D0" w14:paraId="7BB56E10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04586018" w14:textId="0A622A4A" w:rsidR="00FA2C8A" w:rsidRPr="009F52D0" w:rsidRDefault="00D002F4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Age</w:t>
            </w:r>
            <w:r w:rsidR="0039648B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group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3CC1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68F42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93F7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36564" w14:textId="0E576E7F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&lt;</w:t>
            </w:r>
            <w:r w:rsidR="004847BB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</w:t>
            </w: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.0001</w:t>
            </w:r>
          </w:p>
        </w:tc>
      </w:tr>
      <w:tr w:rsidR="0061730D" w:rsidRPr="009F52D0" w14:paraId="357CDF59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7A4C599D" w14:textId="3E554459" w:rsidR="00FA2C8A" w:rsidRPr="009F52D0" w:rsidRDefault="00D002F4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Sex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6DB56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6376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6AF3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D840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0.32</w:t>
            </w:r>
          </w:p>
        </w:tc>
      </w:tr>
      <w:tr w:rsidR="0061730D" w:rsidRPr="009F52D0" w14:paraId="4ED4C748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129139D8" w14:textId="2988D425" w:rsidR="00FA2C8A" w:rsidRPr="009F52D0" w:rsidRDefault="006C237D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Country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4C52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C06B0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97D82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0A98A" w14:textId="4B36BD3A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&lt;</w:t>
            </w:r>
            <w:r w:rsidR="004847BB"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</w:t>
            </w: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.0001</w:t>
            </w:r>
          </w:p>
        </w:tc>
      </w:tr>
      <w:tr w:rsidR="0061730D" w:rsidRPr="009F52D0" w14:paraId="010658C4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53EDFF2E" w14:textId="51F30837" w:rsidR="00FA2C8A" w:rsidRPr="009F52D0" w:rsidRDefault="00D002F4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Income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625F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1CE79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ACA7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59D7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0.011</w:t>
            </w:r>
          </w:p>
        </w:tc>
      </w:tr>
      <w:tr w:rsidR="0061730D" w:rsidRPr="009F52D0" w14:paraId="247D6D0A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6B8800B6" w14:textId="51FFEDE3" w:rsidR="00FA2C8A" w:rsidRPr="009F52D0" w:rsidRDefault="00D002F4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Education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0381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46DA6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F41F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41BA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0.041</w:t>
            </w:r>
          </w:p>
        </w:tc>
      </w:tr>
      <w:tr w:rsidR="0061730D" w:rsidRPr="009F52D0" w14:paraId="1DB979CC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7ACCE4D5" w14:textId="17441F16" w:rsidR="00FA2C8A" w:rsidRPr="009F52D0" w:rsidRDefault="00963EFF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Race/ethnicity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3B52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9FAC6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67B10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BD57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0.003</w:t>
            </w:r>
          </w:p>
        </w:tc>
      </w:tr>
      <w:tr w:rsidR="0061730D" w:rsidRPr="009F52D0" w14:paraId="72F3BDD5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6F823DBB" w14:textId="750A5BAA" w:rsidR="00FA2C8A" w:rsidRPr="009F52D0" w:rsidRDefault="00105F93" w:rsidP="00FA2C8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Cigarettes smoked per day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18B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CAA0E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4B920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7007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EB287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0.001</w:t>
            </w:r>
          </w:p>
        </w:tc>
      </w:tr>
      <w:tr w:rsidR="0061730D" w:rsidRPr="009F52D0" w14:paraId="78FFCA26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0BC67796" w14:textId="017CDF58" w:rsidR="00FA2C8A" w:rsidRPr="009F52D0" w:rsidRDefault="00D002F4" w:rsidP="00FA2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ALC*CAN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7BD9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232D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4C0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FB8A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0.47</w:t>
            </w:r>
          </w:p>
        </w:tc>
      </w:tr>
      <w:tr w:rsidR="0061730D" w:rsidRPr="009F52D0" w14:paraId="209A7861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07FB1F1A" w14:textId="5A26D3EA" w:rsidR="00FA2C8A" w:rsidRPr="009F52D0" w:rsidRDefault="00D002F4" w:rsidP="00FA2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</w:t>
            </w:r>
            <w:r w:rsidR="00DB1DEA"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*</w:t>
            </w: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CF5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1.8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2D422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0F78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452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0.18</w:t>
            </w:r>
          </w:p>
        </w:tc>
      </w:tr>
      <w:tr w:rsidR="0061730D" w:rsidRPr="009F52D0" w14:paraId="24B0199B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6108F635" w14:textId="3BBFE078" w:rsidR="00FA2C8A" w:rsidRPr="009F52D0" w:rsidRDefault="00D002F4" w:rsidP="00FA2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CAN*</w:t>
            </w:r>
            <w:r w:rsidR="00B9304D"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2858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1.03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90AF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65D0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A70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0.38</w:t>
            </w:r>
          </w:p>
        </w:tc>
      </w:tr>
      <w:tr w:rsidR="0061730D" w:rsidRPr="009F52D0" w14:paraId="185E739F" w14:textId="77777777" w:rsidTr="0061730D">
        <w:trPr>
          <w:trHeight w:val="285"/>
        </w:trPr>
        <w:tc>
          <w:tcPr>
            <w:tcW w:w="60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 w:themeFill="background1"/>
            <w:noWrap/>
            <w:vAlign w:val="center"/>
            <w:hideMark/>
          </w:tcPr>
          <w:p w14:paraId="12D30329" w14:textId="2133DE94" w:rsidR="00FA2C8A" w:rsidRPr="009F52D0" w:rsidRDefault="00B9304D" w:rsidP="00FA2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ALC*C</w:t>
            </w:r>
            <w:r w:rsidR="009C46F3"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</w:t>
            </w: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N*DEP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D0A0B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3326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1E28A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7006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A8A5" w14:textId="77777777" w:rsidR="00FA2C8A" w:rsidRPr="009F52D0" w:rsidRDefault="00FA2C8A" w:rsidP="006D0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9F52D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0.77</w:t>
            </w:r>
          </w:p>
        </w:tc>
      </w:tr>
    </w:tbl>
    <w:p w14:paraId="2FEDC026" w14:textId="70DC5004" w:rsidR="00FA2C8A" w:rsidRPr="009F52D0" w:rsidRDefault="0039648B">
      <w:pPr>
        <w:rPr>
          <w:rFonts w:ascii="Arial" w:hAnsi="Arial" w:cs="Arial"/>
          <w:sz w:val="19"/>
          <w:szCs w:val="19"/>
        </w:rPr>
      </w:pPr>
      <w:r w:rsidRPr="009F52D0">
        <w:rPr>
          <w:rFonts w:ascii="Arial" w:hAnsi="Arial" w:cs="Arial"/>
          <w:sz w:val="19"/>
          <w:szCs w:val="19"/>
        </w:rPr>
        <w:t xml:space="preserve">All variables are categorical. </w:t>
      </w:r>
      <w:r w:rsidR="003C5D65" w:rsidRPr="003C5D65">
        <w:rPr>
          <w:rFonts w:ascii="Arial" w:hAnsi="Arial" w:cs="Arial"/>
          <w:sz w:val="19"/>
          <w:szCs w:val="19"/>
        </w:rPr>
        <w:t xml:space="preserve">Current frequency of cannabis use: (1) ‘daily cannabis use’; (2) ‘less than daily, but at least weekly/monthly cannabis use’; (3) ‘less than monthly (occasional) use and used it in the last year’; or (4) ‘no current cannabis use’ (never used/quit using it/have not used it in the last year). </w:t>
      </w:r>
      <w:r w:rsidRPr="009F52D0">
        <w:rPr>
          <w:rFonts w:ascii="Arial" w:hAnsi="Arial" w:cs="Arial"/>
          <w:sz w:val="19"/>
          <w:szCs w:val="19"/>
        </w:rPr>
        <w:t>Alcohol consumption was defined using the National Institute on Alcohol Abuse and Alcoholism’s definition (NIAAA), where levels of alcohol use are defined as “low risk” (≤4 drinks per occasion for men, ≤2 drinks per occasion for women) and “high risk” (≥5 drinks per occasion for men, ≥3 drinks per occasion for women, and ≥6 drinks on a single occasion at least once a month for men and women). All respondents were screened for past 30-day depressive symptomology using the two-question case finding instrument (TQI) for depression. Respondents who reported ‘yes’ to both questions were classified as screening positive for depressive symptoms.</w:t>
      </w:r>
      <w:r w:rsidR="00105F93" w:rsidRPr="009F52D0">
        <w:rPr>
          <w:rFonts w:ascii="Arial" w:hAnsi="Arial" w:cs="Arial"/>
          <w:sz w:val="19"/>
          <w:szCs w:val="19"/>
        </w:rPr>
        <w:t xml:space="preserve"> Cigarettes smoked per day: </w:t>
      </w:r>
      <w:r w:rsidR="00356068" w:rsidRPr="009F52D0">
        <w:rPr>
          <w:rFonts w:ascii="Arial" w:hAnsi="Arial" w:cs="Arial"/>
          <w:sz w:val="19"/>
          <w:szCs w:val="19"/>
        </w:rPr>
        <w:t>‘1-10’, ’11-20’, or ‘21+’</w:t>
      </w:r>
    </w:p>
    <w:sectPr w:rsidR="00FA2C8A" w:rsidRPr="009F52D0" w:rsidSect="00353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8A"/>
    <w:rsid w:val="0003240B"/>
    <w:rsid w:val="00036927"/>
    <w:rsid w:val="0005785F"/>
    <w:rsid w:val="000808F8"/>
    <w:rsid w:val="00082145"/>
    <w:rsid w:val="00093FBE"/>
    <w:rsid w:val="000B336F"/>
    <w:rsid w:val="000B5BF0"/>
    <w:rsid w:val="000D0F1B"/>
    <w:rsid w:val="000F31C5"/>
    <w:rsid w:val="000F59F9"/>
    <w:rsid w:val="00105F93"/>
    <w:rsid w:val="0010762A"/>
    <w:rsid w:val="0011301F"/>
    <w:rsid w:val="00114032"/>
    <w:rsid w:val="001354A7"/>
    <w:rsid w:val="00147B78"/>
    <w:rsid w:val="0015100A"/>
    <w:rsid w:val="00151098"/>
    <w:rsid w:val="0015477E"/>
    <w:rsid w:val="001550FB"/>
    <w:rsid w:val="00167F8C"/>
    <w:rsid w:val="00184732"/>
    <w:rsid w:val="00191028"/>
    <w:rsid w:val="00191DCA"/>
    <w:rsid w:val="00192489"/>
    <w:rsid w:val="0019264B"/>
    <w:rsid w:val="00194008"/>
    <w:rsid w:val="00195C57"/>
    <w:rsid w:val="001C5F54"/>
    <w:rsid w:val="001D5CB7"/>
    <w:rsid w:val="001E2DC7"/>
    <w:rsid w:val="00203276"/>
    <w:rsid w:val="00207F74"/>
    <w:rsid w:val="00253331"/>
    <w:rsid w:val="0025447D"/>
    <w:rsid w:val="00261EA4"/>
    <w:rsid w:val="00263947"/>
    <w:rsid w:val="00264DF6"/>
    <w:rsid w:val="002728F3"/>
    <w:rsid w:val="002A485E"/>
    <w:rsid w:val="002C4396"/>
    <w:rsid w:val="002C7CA0"/>
    <w:rsid w:val="002E5477"/>
    <w:rsid w:val="00312366"/>
    <w:rsid w:val="00324B81"/>
    <w:rsid w:val="003532C2"/>
    <w:rsid w:val="00354AD4"/>
    <w:rsid w:val="00356068"/>
    <w:rsid w:val="003611FF"/>
    <w:rsid w:val="00364F33"/>
    <w:rsid w:val="00366661"/>
    <w:rsid w:val="003912CD"/>
    <w:rsid w:val="0039648B"/>
    <w:rsid w:val="00397549"/>
    <w:rsid w:val="003C5D65"/>
    <w:rsid w:val="003E525E"/>
    <w:rsid w:val="003E711C"/>
    <w:rsid w:val="003F3FA6"/>
    <w:rsid w:val="003F5C30"/>
    <w:rsid w:val="004109FD"/>
    <w:rsid w:val="00431D0D"/>
    <w:rsid w:val="00433776"/>
    <w:rsid w:val="00454FA6"/>
    <w:rsid w:val="00472D04"/>
    <w:rsid w:val="00475E4A"/>
    <w:rsid w:val="004829D9"/>
    <w:rsid w:val="004847BB"/>
    <w:rsid w:val="004A09C0"/>
    <w:rsid w:val="004B3ACC"/>
    <w:rsid w:val="004D6552"/>
    <w:rsid w:val="004F25EB"/>
    <w:rsid w:val="005125EA"/>
    <w:rsid w:val="0053337B"/>
    <w:rsid w:val="005342EC"/>
    <w:rsid w:val="00545A29"/>
    <w:rsid w:val="00595AFD"/>
    <w:rsid w:val="005B6A0D"/>
    <w:rsid w:val="005D2ACD"/>
    <w:rsid w:val="005D6B2F"/>
    <w:rsid w:val="005E31A8"/>
    <w:rsid w:val="005F3679"/>
    <w:rsid w:val="005F68DB"/>
    <w:rsid w:val="005F7D7A"/>
    <w:rsid w:val="0061730D"/>
    <w:rsid w:val="00621E0A"/>
    <w:rsid w:val="00642A2A"/>
    <w:rsid w:val="0065072F"/>
    <w:rsid w:val="006713A6"/>
    <w:rsid w:val="00692B00"/>
    <w:rsid w:val="006A6322"/>
    <w:rsid w:val="006B5495"/>
    <w:rsid w:val="006C237D"/>
    <w:rsid w:val="006C5993"/>
    <w:rsid w:val="006D0F34"/>
    <w:rsid w:val="006D114B"/>
    <w:rsid w:val="006E0415"/>
    <w:rsid w:val="006E3329"/>
    <w:rsid w:val="0073323C"/>
    <w:rsid w:val="0074572C"/>
    <w:rsid w:val="007524A0"/>
    <w:rsid w:val="007526CE"/>
    <w:rsid w:val="007637D0"/>
    <w:rsid w:val="007951CC"/>
    <w:rsid w:val="007A201A"/>
    <w:rsid w:val="007A37CB"/>
    <w:rsid w:val="007A5CFD"/>
    <w:rsid w:val="007C15CD"/>
    <w:rsid w:val="007C4943"/>
    <w:rsid w:val="007D14FC"/>
    <w:rsid w:val="007D2C09"/>
    <w:rsid w:val="0081225A"/>
    <w:rsid w:val="00841FBD"/>
    <w:rsid w:val="00844AE9"/>
    <w:rsid w:val="00853469"/>
    <w:rsid w:val="0085576B"/>
    <w:rsid w:val="008616AD"/>
    <w:rsid w:val="00870492"/>
    <w:rsid w:val="008B2F52"/>
    <w:rsid w:val="008B78DA"/>
    <w:rsid w:val="008D68A2"/>
    <w:rsid w:val="008E5369"/>
    <w:rsid w:val="0090111A"/>
    <w:rsid w:val="00912A2F"/>
    <w:rsid w:val="009170A9"/>
    <w:rsid w:val="00960C98"/>
    <w:rsid w:val="00961C35"/>
    <w:rsid w:val="00963394"/>
    <w:rsid w:val="00963EFF"/>
    <w:rsid w:val="00972F07"/>
    <w:rsid w:val="00997B14"/>
    <w:rsid w:val="009A3246"/>
    <w:rsid w:val="009A5BC1"/>
    <w:rsid w:val="009B7227"/>
    <w:rsid w:val="009C46F3"/>
    <w:rsid w:val="009D59C4"/>
    <w:rsid w:val="009F4179"/>
    <w:rsid w:val="009F52D0"/>
    <w:rsid w:val="009F60A1"/>
    <w:rsid w:val="00A11D52"/>
    <w:rsid w:val="00A223E4"/>
    <w:rsid w:val="00A24E10"/>
    <w:rsid w:val="00A337B8"/>
    <w:rsid w:val="00A620D2"/>
    <w:rsid w:val="00A87C43"/>
    <w:rsid w:val="00A93C2B"/>
    <w:rsid w:val="00AA7856"/>
    <w:rsid w:val="00AC15AB"/>
    <w:rsid w:val="00B049BD"/>
    <w:rsid w:val="00B14E92"/>
    <w:rsid w:val="00B26199"/>
    <w:rsid w:val="00B2706D"/>
    <w:rsid w:val="00B303C1"/>
    <w:rsid w:val="00B31255"/>
    <w:rsid w:val="00B327D4"/>
    <w:rsid w:val="00B365D3"/>
    <w:rsid w:val="00B4043C"/>
    <w:rsid w:val="00B41C48"/>
    <w:rsid w:val="00B45254"/>
    <w:rsid w:val="00B9304D"/>
    <w:rsid w:val="00B95722"/>
    <w:rsid w:val="00BA3CD8"/>
    <w:rsid w:val="00BB64F2"/>
    <w:rsid w:val="00BB74AB"/>
    <w:rsid w:val="00BB7C09"/>
    <w:rsid w:val="00BC12E6"/>
    <w:rsid w:val="00BF3299"/>
    <w:rsid w:val="00C13F7E"/>
    <w:rsid w:val="00C21DEC"/>
    <w:rsid w:val="00C440F2"/>
    <w:rsid w:val="00C52921"/>
    <w:rsid w:val="00CC0FC2"/>
    <w:rsid w:val="00CD4E46"/>
    <w:rsid w:val="00CE3FE6"/>
    <w:rsid w:val="00CF61CB"/>
    <w:rsid w:val="00D002F4"/>
    <w:rsid w:val="00D1377D"/>
    <w:rsid w:val="00D142B0"/>
    <w:rsid w:val="00D23FA9"/>
    <w:rsid w:val="00D27EB5"/>
    <w:rsid w:val="00D433F3"/>
    <w:rsid w:val="00D443BB"/>
    <w:rsid w:val="00D54857"/>
    <w:rsid w:val="00D63546"/>
    <w:rsid w:val="00D66331"/>
    <w:rsid w:val="00D825E6"/>
    <w:rsid w:val="00D8545E"/>
    <w:rsid w:val="00DB1DEA"/>
    <w:rsid w:val="00E05BB9"/>
    <w:rsid w:val="00E26AD2"/>
    <w:rsid w:val="00E93785"/>
    <w:rsid w:val="00EC715B"/>
    <w:rsid w:val="00ED59D6"/>
    <w:rsid w:val="00EF3677"/>
    <w:rsid w:val="00EF703C"/>
    <w:rsid w:val="00F00E2E"/>
    <w:rsid w:val="00F1558A"/>
    <w:rsid w:val="00F370FA"/>
    <w:rsid w:val="00F6501B"/>
    <w:rsid w:val="00F65A00"/>
    <w:rsid w:val="00F75309"/>
    <w:rsid w:val="00F76B62"/>
    <w:rsid w:val="00F823C8"/>
    <w:rsid w:val="00F860DD"/>
    <w:rsid w:val="00FA2C8A"/>
    <w:rsid w:val="00FE35E2"/>
    <w:rsid w:val="00FF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0D90E"/>
  <w15:chartTrackingRefBased/>
  <w15:docId w15:val="{11263EA4-1E91-4142-B3BF-0E8B352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Gravely</dc:creator>
  <cp:keywords/>
  <dc:description/>
  <cp:lastModifiedBy>Shannon Gravely</cp:lastModifiedBy>
  <cp:revision>229</cp:revision>
  <dcterms:created xsi:type="dcterms:W3CDTF">2023-05-11T17:37:00Z</dcterms:created>
  <dcterms:modified xsi:type="dcterms:W3CDTF">2023-10-17T15:26:00Z</dcterms:modified>
</cp:coreProperties>
</file>