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6CA6" w14:textId="77777777" w:rsidR="00320FA3" w:rsidRPr="00607185" w:rsidRDefault="00320FA3" w:rsidP="00320FA3">
      <w:pPr>
        <w:widowControl w:val="0"/>
        <w:autoSpaceDE w:val="0"/>
        <w:autoSpaceDN w:val="0"/>
        <w:adjustRightInd w:val="0"/>
        <w:spacing w:after="0" w:line="480" w:lineRule="auto"/>
        <w:jc w:val="both"/>
        <w:rPr>
          <w:rFonts w:ascii="Times New Roman" w:hAnsi="Times New Roman" w:cs="Times New Roman"/>
          <w:b/>
          <w:bCs/>
          <w:sz w:val="24"/>
          <w:szCs w:val="24"/>
          <w:lang w:val="tr-TR"/>
        </w:rPr>
      </w:pPr>
      <w:bookmarkStart w:id="0" w:name="_Hlk133614878"/>
      <w:r w:rsidRPr="00607185">
        <w:rPr>
          <w:rFonts w:ascii="Times New Roman" w:hAnsi="Times New Roman" w:cs="Times New Roman"/>
          <w:b/>
          <w:bCs/>
          <w:sz w:val="24"/>
          <w:szCs w:val="24"/>
          <w:lang w:val="tr-TR"/>
        </w:rPr>
        <w:t>γ-Aminobutyric acid (GABA)-enriched hemp milk by solid-state co-fermentation and germination bioprocesses</w:t>
      </w:r>
      <w:bookmarkEnd w:id="0"/>
    </w:p>
    <w:p w14:paraId="5DE706EF" w14:textId="77777777" w:rsidR="00AB6765" w:rsidRPr="00607185" w:rsidRDefault="00AB6765" w:rsidP="00D27C7F">
      <w:pPr>
        <w:widowControl w:val="0"/>
        <w:autoSpaceDE w:val="0"/>
        <w:autoSpaceDN w:val="0"/>
        <w:adjustRightInd w:val="0"/>
        <w:spacing w:after="0" w:line="480" w:lineRule="auto"/>
        <w:jc w:val="both"/>
        <w:rPr>
          <w:rFonts w:ascii="Times New Roman" w:hAnsi="Times New Roman" w:cs="Times New Roman"/>
          <w:b/>
          <w:bCs/>
          <w:sz w:val="24"/>
          <w:szCs w:val="24"/>
          <w:lang w:val="tr-TR"/>
        </w:rPr>
      </w:pPr>
    </w:p>
    <w:p w14:paraId="75B2667C" w14:textId="77777777" w:rsidR="00D27C7F" w:rsidRPr="00607185" w:rsidRDefault="00D27C7F" w:rsidP="00D27C7F">
      <w:pPr>
        <w:spacing w:after="0" w:line="480" w:lineRule="auto"/>
        <w:contextualSpacing/>
        <w:jc w:val="both"/>
        <w:rPr>
          <w:rFonts w:ascii="Times New Roman" w:eastAsia="Times New Roman" w:hAnsi="Times New Roman" w:cs="Times New Roman"/>
          <w:sz w:val="24"/>
          <w:szCs w:val="24"/>
        </w:rPr>
      </w:pPr>
      <w:r w:rsidRPr="00607185">
        <w:rPr>
          <w:rFonts w:ascii="Times New Roman" w:eastAsia="Times New Roman" w:hAnsi="Times New Roman" w:cs="Times New Roman"/>
          <w:sz w:val="24"/>
          <w:szCs w:val="24"/>
        </w:rPr>
        <w:t>Gulsah Karabulut</w:t>
      </w:r>
      <w:r w:rsidRPr="00607185">
        <w:rPr>
          <w:rFonts w:ascii="Times New Roman" w:eastAsia="Times New Roman" w:hAnsi="Times New Roman" w:cs="Times New Roman"/>
          <w:sz w:val="24"/>
          <w:szCs w:val="24"/>
          <w:vertAlign w:val="superscript"/>
        </w:rPr>
        <w:t>a</w:t>
      </w:r>
      <w:r w:rsidRPr="00607185">
        <w:rPr>
          <w:rFonts w:ascii="Times New Roman" w:eastAsia="Times New Roman" w:hAnsi="Times New Roman" w:cs="Times New Roman"/>
          <w:sz w:val="24"/>
          <w:szCs w:val="24"/>
        </w:rPr>
        <w:t>, Boris V. Nemzer</w:t>
      </w:r>
      <w:r w:rsidRPr="00607185">
        <w:rPr>
          <w:rFonts w:ascii="Times New Roman" w:eastAsia="Times New Roman" w:hAnsi="Times New Roman" w:cs="Times New Roman"/>
          <w:sz w:val="24"/>
          <w:szCs w:val="24"/>
          <w:vertAlign w:val="superscript"/>
        </w:rPr>
        <w:t>b</w:t>
      </w:r>
      <w:r w:rsidRPr="00607185">
        <w:rPr>
          <w:rFonts w:ascii="Times New Roman" w:eastAsia="Times New Roman" w:hAnsi="Times New Roman" w:cs="Times New Roman"/>
          <w:sz w:val="24"/>
          <w:szCs w:val="24"/>
        </w:rPr>
        <w:t>, Hao Feng</w:t>
      </w:r>
      <w:r w:rsidRPr="00607185">
        <w:rPr>
          <w:rFonts w:ascii="Times New Roman" w:eastAsia="Times New Roman" w:hAnsi="Times New Roman" w:cs="Times New Roman"/>
          <w:sz w:val="24"/>
          <w:szCs w:val="24"/>
          <w:vertAlign w:val="superscript"/>
        </w:rPr>
        <w:t>c,</w:t>
      </w:r>
      <w:r w:rsidRPr="00607185">
        <w:rPr>
          <w:rFonts w:ascii="Times New Roman" w:eastAsia="Times New Roman" w:hAnsi="Times New Roman" w:cs="Times New Roman"/>
          <w:sz w:val="24"/>
          <w:szCs w:val="24"/>
        </w:rPr>
        <w:t xml:space="preserve">* </w:t>
      </w:r>
      <w:r w:rsidRPr="00607185">
        <w:rPr>
          <w:rFonts w:ascii="Times New Roman" w:eastAsia="Times New Roman" w:hAnsi="Times New Roman" w:cs="Times New Roman"/>
          <w:sz w:val="24"/>
          <w:szCs w:val="24"/>
        </w:rPr>
        <w:tab/>
      </w:r>
      <w:r w:rsidRPr="00607185">
        <w:rPr>
          <w:rFonts w:ascii="Times New Roman" w:eastAsia="Times New Roman" w:hAnsi="Times New Roman" w:cs="Times New Roman"/>
          <w:sz w:val="24"/>
          <w:szCs w:val="24"/>
        </w:rPr>
        <w:tab/>
      </w:r>
      <w:r w:rsidRPr="00607185">
        <w:rPr>
          <w:rFonts w:ascii="Times New Roman" w:eastAsia="Times New Roman" w:hAnsi="Times New Roman" w:cs="Times New Roman"/>
          <w:sz w:val="24"/>
          <w:szCs w:val="24"/>
        </w:rPr>
        <w:tab/>
      </w:r>
    </w:p>
    <w:p w14:paraId="5812A126" w14:textId="4B0FB0F4" w:rsidR="00D27C7F" w:rsidRPr="00607185" w:rsidRDefault="00D27C7F" w:rsidP="00D27C7F">
      <w:pPr>
        <w:spacing w:after="0" w:line="480" w:lineRule="auto"/>
        <w:contextualSpacing/>
        <w:jc w:val="both"/>
        <w:rPr>
          <w:rFonts w:ascii="Times New Roman" w:eastAsia="Times New Roman" w:hAnsi="Times New Roman" w:cs="Times New Roman"/>
          <w:sz w:val="24"/>
          <w:szCs w:val="24"/>
        </w:rPr>
      </w:pPr>
      <w:r w:rsidRPr="00607185">
        <w:rPr>
          <w:rFonts w:ascii="Times New Roman" w:eastAsia="Times New Roman" w:hAnsi="Times New Roman" w:cs="Times New Roman"/>
          <w:sz w:val="24"/>
          <w:szCs w:val="24"/>
          <w:vertAlign w:val="superscript"/>
        </w:rPr>
        <w:t>a</w:t>
      </w:r>
      <w:r w:rsidRPr="00607185">
        <w:rPr>
          <w:rFonts w:ascii="Times New Roman" w:eastAsia="Times New Roman" w:hAnsi="Times New Roman" w:cs="Times New Roman"/>
          <w:sz w:val="24"/>
          <w:szCs w:val="24"/>
        </w:rPr>
        <w:t>Department of Food Engineering, Sakarya University, 54187, Sakarya / Turk</w:t>
      </w:r>
      <w:r w:rsidR="00B6766F" w:rsidRPr="00607185">
        <w:rPr>
          <w:rFonts w:ascii="Times New Roman" w:eastAsia="Times New Roman" w:hAnsi="Times New Roman" w:cs="Times New Roman"/>
          <w:sz w:val="24"/>
          <w:szCs w:val="24"/>
        </w:rPr>
        <w:t>ey</w:t>
      </w:r>
      <w:r w:rsidRPr="00607185">
        <w:rPr>
          <w:rFonts w:ascii="Times New Roman" w:eastAsia="Times New Roman" w:hAnsi="Times New Roman" w:cs="Times New Roman"/>
          <w:sz w:val="24"/>
          <w:szCs w:val="24"/>
        </w:rPr>
        <w:t xml:space="preserve"> </w:t>
      </w:r>
      <w:r w:rsidRPr="00607185">
        <w:rPr>
          <w:rFonts w:ascii="Times New Roman" w:eastAsia="Times New Roman" w:hAnsi="Times New Roman" w:cs="Times New Roman"/>
          <w:sz w:val="24"/>
          <w:szCs w:val="24"/>
          <w:vertAlign w:val="superscript"/>
        </w:rPr>
        <w:t>b</w:t>
      </w:r>
      <w:r w:rsidRPr="00607185">
        <w:rPr>
          <w:rFonts w:ascii="Times New Roman" w:eastAsia="Times New Roman" w:hAnsi="Times New Roman" w:cs="Times New Roman"/>
          <w:sz w:val="24"/>
          <w:szCs w:val="24"/>
        </w:rPr>
        <w:t xml:space="preserve">VDF FutureCeuticals, Inc., Momence, IL 60954, USA </w:t>
      </w:r>
      <w:r w:rsidRPr="00607185">
        <w:rPr>
          <w:rFonts w:ascii="Times New Roman" w:eastAsia="Times New Roman" w:hAnsi="Times New Roman" w:cs="Times New Roman"/>
          <w:sz w:val="24"/>
          <w:szCs w:val="24"/>
          <w:vertAlign w:val="superscript"/>
        </w:rPr>
        <w:t>c</w:t>
      </w:r>
      <w:r w:rsidRPr="00607185">
        <w:rPr>
          <w:rFonts w:ascii="Times New Roman" w:eastAsia="Times New Roman" w:hAnsi="Times New Roman" w:cs="Times New Roman"/>
          <w:sz w:val="24"/>
          <w:szCs w:val="24"/>
        </w:rPr>
        <w:t>Department of Family and Consumer Sciences, North Carolina A&amp;T State University, 27411, Greensboro, NC / USA</w:t>
      </w:r>
    </w:p>
    <w:p w14:paraId="67719D3E" w14:textId="2DA7FA42" w:rsidR="00D27C7F" w:rsidRPr="00607185" w:rsidRDefault="00D27C7F" w:rsidP="00035544">
      <w:pPr>
        <w:spacing w:after="0" w:line="480" w:lineRule="auto"/>
        <w:contextualSpacing/>
        <w:jc w:val="both"/>
        <w:rPr>
          <w:rFonts w:ascii="Times New Roman" w:eastAsia="Times New Roman" w:hAnsi="Times New Roman" w:cs="Times New Roman"/>
          <w:sz w:val="24"/>
          <w:szCs w:val="24"/>
        </w:rPr>
      </w:pPr>
      <w:r w:rsidRPr="00607185">
        <w:rPr>
          <w:rFonts w:ascii="Times New Roman" w:eastAsia="Times New Roman" w:hAnsi="Times New Roman" w:cs="Times New Roman"/>
          <w:sz w:val="24"/>
          <w:szCs w:val="24"/>
        </w:rPr>
        <w:t xml:space="preserve">*Corresponding author: Hao Feng  </w:t>
      </w:r>
      <w:hyperlink r:id="rId7" w:history="1">
        <w:r w:rsidRPr="00607185">
          <w:rPr>
            <w:rStyle w:val="Kpr"/>
            <w:rFonts w:ascii="Times New Roman" w:eastAsia="Calibri" w:hAnsi="Times New Roman" w:cs="Times New Roman"/>
            <w:color w:val="auto"/>
            <w:sz w:val="24"/>
            <w:szCs w:val="24"/>
          </w:rPr>
          <w:t>hfeng@ncat.edu</w:t>
        </w:r>
      </w:hyperlink>
    </w:p>
    <w:p w14:paraId="793627F6" w14:textId="77777777" w:rsidR="00D27C7F" w:rsidRPr="00607185" w:rsidRDefault="00D27C7F" w:rsidP="00035544">
      <w:pPr>
        <w:spacing w:after="0" w:line="480" w:lineRule="auto"/>
        <w:contextualSpacing/>
        <w:jc w:val="both"/>
        <w:rPr>
          <w:rFonts w:ascii="Times New Roman" w:eastAsia="Times New Roman" w:hAnsi="Times New Roman" w:cs="Times New Roman"/>
          <w:b/>
          <w:bCs/>
          <w:sz w:val="24"/>
          <w:szCs w:val="24"/>
        </w:rPr>
      </w:pPr>
    </w:p>
    <w:p w14:paraId="0301DFC9" w14:textId="3C2B7D2B" w:rsidR="00AB6765" w:rsidRPr="00607185" w:rsidRDefault="00D27C7F" w:rsidP="00D27C7F">
      <w:pPr>
        <w:spacing w:after="0" w:line="480" w:lineRule="auto"/>
        <w:contextualSpacing/>
        <w:jc w:val="center"/>
        <w:rPr>
          <w:rFonts w:ascii="Times New Roman" w:eastAsia="Times New Roman" w:hAnsi="Times New Roman" w:cs="Times New Roman"/>
          <w:b/>
          <w:bCs/>
          <w:sz w:val="32"/>
          <w:szCs w:val="32"/>
        </w:rPr>
        <w:sectPr w:rsidR="00AB6765" w:rsidRPr="00607185" w:rsidSect="00CE00A1">
          <w:footerReference w:type="default" r:id="rId8"/>
          <w:pgSz w:w="12240" w:h="15840"/>
          <w:pgMar w:top="1417" w:right="1417" w:bottom="1417" w:left="1417" w:header="708" w:footer="708" w:gutter="0"/>
          <w:lnNumType w:countBy="1" w:restart="continuous"/>
          <w:cols w:space="708"/>
          <w:docGrid w:linePitch="360"/>
        </w:sectPr>
      </w:pPr>
      <w:r w:rsidRPr="00607185">
        <w:rPr>
          <w:rFonts w:ascii="Times New Roman" w:eastAsia="Times New Roman" w:hAnsi="Times New Roman" w:cs="Times New Roman"/>
          <w:b/>
          <w:bCs/>
          <w:sz w:val="32"/>
          <w:szCs w:val="32"/>
        </w:rPr>
        <w:t xml:space="preserve">Supplementary File </w:t>
      </w:r>
      <w:r w:rsidR="00637A12" w:rsidRPr="00607185">
        <w:rPr>
          <w:rFonts w:ascii="Times New Roman" w:eastAsia="Times New Roman" w:hAnsi="Times New Roman" w:cs="Times New Roman"/>
          <w:b/>
          <w:bCs/>
          <w:sz w:val="32"/>
          <w:szCs w:val="32"/>
        </w:rPr>
        <w:t>2</w:t>
      </w:r>
    </w:p>
    <w:p w14:paraId="757AC05E" w14:textId="77777777" w:rsidR="00035544" w:rsidRPr="00607185" w:rsidRDefault="00035544" w:rsidP="00035544">
      <w:pPr>
        <w:tabs>
          <w:tab w:val="left" w:pos="1605"/>
        </w:tabs>
        <w:spacing w:after="0" w:line="480" w:lineRule="auto"/>
        <w:contextualSpacing/>
        <w:jc w:val="both"/>
        <w:rPr>
          <w:rFonts w:ascii="Times New Roman" w:eastAsia="Times New Roman" w:hAnsi="Times New Roman" w:cs="Times New Roman"/>
          <w:b/>
          <w:bCs/>
          <w:sz w:val="24"/>
          <w:szCs w:val="24"/>
        </w:rPr>
      </w:pPr>
      <w:r w:rsidRPr="00607185">
        <w:rPr>
          <w:rFonts w:ascii="Times New Roman" w:eastAsia="Times New Roman" w:hAnsi="Times New Roman" w:cs="Times New Roman"/>
          <w:b/>
          <w:bCs/>
          <w:sz w:val="24"/>
          <w:szCs w:val="24"/>
        </w:rPr>
        <w:lastRenderedPageBreak/>
        <w:t>Acknowledgment</w:t>
      </w:r>
    </w:p>
    <w:p w14:paraId="1C37BD7B" w14:textId="764476BA" w:rsidR="00983447" w:rsidRPr="00607185" w:rsidRDefault="00035544" w:rsidP="00983447">
      <w:pPr>
        <w:spacing w:after="0" w:line="480" w:lineRule="auto"/>
        <w:contextualSpacing/>
        <w:jc w:val="both"/>
        <w:rPr>
          <w:rFonts w:ascii="Times New Roman" w:eastAsia="SimSun" w:hAnsi="Times New Roman" w:cs="Times New Roman"/>
          <w:sz w:val="24"/>
          <w:szCs w:val="24"/>
        </w:rPr>
      </w:pPr>
      <w:r w:rsidRPr="00607185">
        <w:rPr>
          <w:rFonts w:ascii="Times New Roman" w:eastAsia="SimSun" w:hAnsi="Times New Roman" w:cs="Times New Roman"/>
          <w:sz w:val="24"/>
          <w:szCs w:val="24"/>
        </w:rPr>
        <w:t>The authors would also like to extend special thanks to the Crop Science Department (IL, USA) for providing the hemp seeds used in this study. Furthermore, the authors wish to acknowledge Dr. Miller from the Department of Food Science &amp; Human Nutrition at the University of Illinois at Urbana-Champaign (IL, USA) for generously providing the bacterial cultures used in this research.</w:t>
      </w:r>
    </w:p>
    <w:p w14:paraId="66C329AB" w14:textId="77777777" w:rsidR="00983447" w:rsidRPr="00607185" w:rsidRDefault="00983447" w:rsidP="00983447">
      <w:pPr>
        <w:spacing w:after="0" w:line="480" w:lineRule="auto"/>
        <w:contextualSpacing/>
        <w:jc w:val="both"/>
        <w:rPr>
          <w:rFonts w:ascii="Times New Roman" w:eastAsia="SimSun" w:hAnsi="Times New Roman" w:cs="Times New Roman"/>
          <w:sz w:val="24"/>
          <w:szCs w:val="24"/>
        </w:rPr>
      </w:pPr>
    </w:p>
    <w:p w14:paraId="357C1064" w14:textId="77777777" w:rsidR="00D27C7F" w:rsidRPr="00607185" w:rsidRDefault="00D27C7F" w:rsidP="00983447">
      <w:pPr>
        <w:spacing w:after="0" w:line="480" w:lineRule="auto"/>
        <w:contextualSpacing/>
        <w:jc w:val="both"/>
        <w:rPr>
          <w:rFonts w:ascii="Times New Roman" w:eastAsia="SimSun" w:hAnsi="Times New Roman" w:cs="Times New Roman"/>
          <w:sz w:val="24"/>
          <w:szCs w:val="24"/>
        </w:rPr>
      </w:pPr>
    </w:p>
    <w:p w14:paraId="79F2D724" w14:textId="77777777" w:rsidR="00AB6765" w:rsidRPr="00607185" w:rsidRDefault="00AB6765" w:rsidP="00983447">
      <w:pPr>
        <w:spacing w:after="0" w:line="480" w:lineRule="auto"/>
        <w:contextualSpacing/>
        <w:jc w:val="both"/>
        <w:rPr>
          <w:rFonts w:ascii="Times New Roman" w:eastAsia="SimSun" w:hAnsi="Times New Roman" w:cs="Times New Roman"/>
          <w:sz w:val="24"/>
          <w:szCs w:val="24"/>
        </w:rPr>
        <w:sectPr w:rsidR="00AB6765" w:rsidRPr="00607185" w:rsidSect="00CE00A1">
          <w:pgSz w:w="12240" w:h="15840"/>
          <w:pgMar w:top="1417" w:right="1417" w:bottom="1417" w:left="1417" w:header="708" w:footer="708" w:gutter="0"/>
          <w:lnNumType w:countBy="1" w:restart="continuous"/>
          <w:cols w:space="708"/>
          <w:docGrid w:linePitch="360"/>
        </w:sectPr>
      </w:pPr>
    </w:p>
    <w:p w14:paraId="32214570" w14:textId="29E09E24" w:rsidR="00983447" w:rsidRPr="00607185" w:rsidRDefault="00983447" w:rsidP="00983447">
      <w:pPr>
        <w:spacing w:after="0" w:line="480" w:lineRule="auto"/>
        <w:contextualSpacing/>
        <w:jc w:val="both"/>
        <w:rPr>
          <w:rFonts w:ascii="Times New Roman" w:hAnsi="Times New Roman" w:cs="Times New Roman"/>
          <w:bCs/>
          <w:sz w:val="24"/>
          <w:szCs w:val="24"/>
        </w:rPr>
      </w:pPr>
      <w:r w:rsidRPr="00607185">
        <w:rPr>
          <w:rFonts w:ascii="Times New Roman" w:hAnsi="Times New Roman" w:cs="Times New Roman"/>
          <w:b/>
          <w:sz w:val="24"/>
          <w:szCs w:val="24"/>
        </w:rPr>
        <w:lastRenderedPageBreak/>
        <w:t>Table 1</w:t>
      </w:r>
      <w:r w:rsidR="00B55218" w:rsidRPr="00607185">
        <w:rPr>
          <w:rFonts w:ascii="Times New Roman" w:hAnsi="Times New Roman" w:cs="Times New Roman"/>
          <w:b/>
          <w:sz w:val="24"/>
          <w:szCs w:val="24"/>
        </w:rPr>
        <w:t>S</w:t>
      </w:r>
      <w:r w:rsidR="00637A12" w:rsidRPr="00607185">
        <w:rPr>
          <w:rFonts w:ascii="Times New Roman" w:hAnsi="Times New Roman" w:cs="Times New Roman"/>
          <w:b/>
          <w:sz w:val="24"/>
          <w:szCs w:val="24"/>
        </w:rPr>
        <w:t>2</w:t>
      </w:r>
      <w:r w:rsidRPr="00607185">
        <w:rPr>
          <w:rFonts w:ascii="Times New Roman" w:hAnsi="Times New Roman" w:cs="Times New Roman"/>
          <w:b/>
          <w:sz w:val="24"/>
          <w:szCs w:val="24"/>
        </w:rPr>
        <w:t xml:space="preserve">. </w:t>
      </w:r>
      <w:r w:rsidRPr="00607185">
        <w:rPr>
          <w:rFonts w:ascii="Times New Roman" w:hAnsi="Times New Roman" w:cs="Times New Roman"/>
          <w:bCs/>
          <w:sz w:val="24"/>
          <w:szCs w:val="24"/>
        </w:rPr>
        <w:t xml:space="preserve">GABA content of hemp seed and hemp milk samples. </w:t>
      </w:r>
    </w:p>
    <w:tbl>
      <w:tblPr>
        <w:tblW w:w="7950" w:type="dxa"/>
        <w:tblCellMar>
          <w:left w:w="70" w:type="dxa"/>
          <w:right w:w="70" w:type="dxa"/>
        </w:tblCellMar>
        <w:tblLook w:val="04A0" w:firstRow="1" w:lastRow="0" w:firstColumn="1" w:lastColumn="0" w:noHBand="0" w:noVBand="1"/>
      </w:tblPr>
      <w:tblGrid>
        <w:gridCol w:w="1391"/>
        <w:gridCol w:w="2385"/>
        <w:gridCol w:w="1391"/>
        <w:gridCol w:w="2783"/>
      </w:tblGrid>
      <w:tr w:rsidR="00607185" w:rsidRPr="00607185" w14:paraId="56AD1EB7" w14:textId="77777777" w:rsidTr="00607185">
        <w:trPr>
          <w:trHeight w:val="613"/>
        </w:trPr>
        <w:tc>
          <w:tcPr>
            <w:tcW w:w="1391" w:type="dxa"/>
            <w:tcBorders>
              <w:top w:val="single" w:sz="4" w:space="0" w:color="auto"/>
              <w:left w:val="nil"/>
              <w:bottom w:val="single" w:sz="4" w:space="0" w:color="AEAAAA" w:themeColor="background2" w:themeShade="BF"/>
              <w:right w:val="nil"/>
            </w:tcBorders>
            <w:shd w:val="clear" w:color="auto" w:fill="auto"/>
            <w:noWrap/>
            <w:vAlign w:val="center"/>
            <w:hideMark/>
          </w:tcPr>
          <w:p w14:paraId="4171ABBC"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Hemp seed</w:t>
            </w:r>
          </w:p>
        </w:tc>
        <w:tc>
          <w:tcPr>
            <w:tcW w:w="2385" w:type="dxa"/>
            <w:tcBorders>
              <w:top w:val="single" w:sz="4" w:space="0" w:color="auto"/>
              <w:left w:val="nil"/>
              <w:bottom w:val="single" w:sz="4" w:space="0" w:color="AEAAAA" w:themeColor="background2" w:themeShade="BF"/>
              <w:right w:val="nil"/>
            </w:tcBorders>
            <w:shd w:val="clear" w:color="auto" w:fill="auto"/>
            <w:noWrap/>
            <w:vAlign w:val="center"/>
            <w:hideMark/>
          </w:tcPr>
          <w:p w14:paraId="40D6212A" w14:textId="3A00F962"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 xml:space="preserve">GABA content (mg/100 g dry </w:t>
            </w:r>
            <w:r w:rsidR="00607185">
              <w:rPr>
                <w:rFonts w:ascii="Times New Roman" w:eastAsia="Times New Roman" w:hAnsi="Times New Roman" w:cs="Times New Roman"/>
                <w:sz w:val="24"/>
                <w:szCs w:val="24"/>
                <w:lang w:val="tr-TR" w:eastAsia="tr-TR"/>
              </w:rPr>
              <w:t>weight</w:t>
            </w:r>
            <w:r w:rsidRPr="00607185">
              <w:rPr>
                <w:rFonts w:ascii="Times New Roman" w:eastAsia="Times New Roman" w:hAnsi="Times New Roman" w:cs="Times New Roman"/>
                <w:sz w:val="24"/>
                <w:szCs w:val="24"/>
                <w:lang w:val="tr-TR" w:eastAsia="tr-TR"/>
              </w:rPr>
              <w:t>)</w:t>
            </w:r>
          </w:p>
        </w:tc>
        <w:tc>
          <w:tcPr>
            <w:tcW w:w="1391" w:type="dxa"/>
            <w:tcBorders>
              <w:top w:val="single" w:sz="4" w:space="0" w:color="auto"/>
              <w:left w:val="nil"/>
              <w:bottom w:val="single" w:sz="4" w:space="0" w:color="AEAAAA" w:themeColor="background2" w:themeShade="BF"/>
              <w:right w:val="nil"/>
            </w:tcBorders>
            <w:shd w:val="clear" w:color="auto" w:fill="auto"/>
            <w:noWrap/>
            <w:vAlign w:val="center"/>
            <w:hideMark/>
          </w:tcPr>
          <w:p w14:paraId="71C3283D"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Hemp milk</w:t>
            </w:r>
          </w:p>
        </w:tc>
        <w:tc>
          <w:tcPr>
            <w:tcW w:w="2783" w:type="dxa"/>
            <w:tcBorders>
              <w:top w:val="single" w:sz="4" w:space="0" w:color="auto"/>
              <w:left w:val="nil"/>
              <w:bottom w:val="single" w:sz="4" w:space="0" w:color="AEAAAA" w:themeColor="background2" w:themeShade="BF"/>
              <w:right w:val="nil"/>
            </w:tcBorders>
            <w:shd w:val="clear" w:color="auto" w:fill="auto"/>
            <w:noWrap/>
            <w:vAlign w:val="center"/>
            <w:hideMark/>
          </w:tcPr>
          <w:p w14:paraId="66EBA026"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 xml:space="preserve">GABA content </w:t>
            </w:r>
          </w:p>
          <w:p w14:paraId="786BB289"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(mg/100 mL hemp milk)</w:t>
            </w:r>
          </w:p>
        </w:tc>
      </w:tr>
      <w:tr w:rsidR="00607185" w:rsidRPr="00607185" w14:paraId="5B3C984E" w14:textId="77777777" w:rsidTr="00607185">
        <w:trPr>
          <w:trHeight w:val="305"/>
        </w:trPr>
        <w:tc>
          <w:tcPr>
            <w:tcW w:w="1391" w:type="dxa"/>
            <w:tcBorders>
              <w:top w:val="single" w:sz="4" w:space="0" w:color="AEAAAA" w:themeColor="background2" w:themeShade="BF"/>
              <w:left w:val="nil"/>
              <w:bottom w:val="nil"/>
              <w:right w:val="nil"/>
            </w:tcBorders>
            <w:shd w:val="clear" w:color="auto" w:fill="auto"/>
            <w:noWrap/>
            <w:vAlign w:val="bottom"/>
            <w:hideMark/>
          </w:tcPr>
          <w:p w14:paraId="4A803084"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U</w:t>
            </w:r>
          </w:p>
        </w:tc>
        <w:tc>
          <w:tcPr>
            <w:tcW w:w="2385" w:type="dxa"/>
            <w:tcBorders>
              <w:top w:val="single" w:sz="4" w:space="0" w:color="AEAAAA" w:themeColor="background2" w:themeShade="BF"/>
              <w:left w:val="nil"/>
              <w:bottom w:val="nil"/>
              <w:right w:val="nil"/>
            </w:tcBorders>
            <w:shd w:val="clear" w:color="auto" w:fill="auto"/>
            <w:noWrap/>
            <w:vAlign w:val="bottom"/>
            <w:hideMark/>
          </w:tcPr>
          <w:p w14:paraId="32D21038"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17.11 ± 0.98</w:t>
            </w:r>
            <w:r w:rsidRPr="00607185">
              <w:rPr>
                <w:rFonts w:ascii="Times New Roman" w:eastAsia="Times New Roman" w:hAnsi="Times New Roman" w:cs="Times New Roman"/>
                <w:sz w:val="24"/>
                <w:szCs w:val="24"/>
                <w:vertAlign w:val="superscript"/>
                <w:lang w:val="tr-TR" w:eastAsia="tr-TR"/>
              </w:rPr>
              <w:t>a</w:t>
            </w:r>
          </w:p>
        </w:tc>
        <w:tc>
          <w:tcPr>
            <w:tcW w:w="1391" w:type="dxa"/>
            <w:tcBorders>
              <w:top w:val="single" w:sz="4" w:space="0" w:color="AEAAAA" w:themeColor="background2" w:themeShade="BF"/>
              <w:left w:val="nil"/>
              <w:bottom w:val="nil"/>
              <w:right w:val="nil"/>
            </w:tcBorders>
            <w:shd w:val="clear" w:color="auto" w:fill="auto"/>
            <w:noWrap/>
            <w:vAlign w:val="bottom"/>
            <w:hideMark/>
          </w:tcPr>
          <w:p w14:paraId="3FC50D22"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U</w:t>
            </w:r>
          </w:p>
        </w:tc>
        <w:tc>
          <w:tcPr>
            <w:tcW w:w="2783" w:type="dxa"/>
            <w:tcBorders>
              <w:top w:val="single" w:sz="4" w:space="0" w:color="AEAAAA" w:themeColor="background2" w:themeShade="BF"/>
              <w:left w:val="nil"/>
              <w:bottom w:val="nil"/>
              <w:right w:val="nil"/>
            </w:tcBorders>
            <w:shd w:val="clear" w:color="auto" w:fill="auto"/>
            <w:noWrap/>
            <w:vAlign w:val="bottom"/>
            <w:hideMark/>
          </w:tcPr>
          <w:p w14:paraId="0595B48F"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&lt;LOQ</w:t>
            </w:r>
          </w:p>
        </w:tc>
      </w:tr>
      <w:tr w:rsidR="00607185" w:rsidRPr="00607185" w14:paraId="681F6356" w14:textId="77777777" w:rsidTr="00607185">
        <w:trPr>
          <w:trHeight w:val="305"/>
        </w:trPr>
        <w:tc>
          <w:tcPr>
            <w:tcW w:w="1391" w:type="dxa"/>
            <w:tcBorders>
              <w:top w:val="nil"/>
              <w:left w:val="nil"/>
              <w:bottom w:val="nil"/>
              <w:right w:val="nil"/>
            </w:tcBorders>
            <w:shd w:val="clear" w:color="auto" w:fill="auto"/>
            <w:noWrap/>
            <w:vAlign w:val="bottom"/>
            <w:hideMark/>
          </w:tcPr>
          <w:p w14:paraId="3EABD7AE"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G1</w:t>
            </w:r>
          </w:p>
        </w:tc>
        <w:tc>
          <w:tcPr>
            <w:tcW w:w="2385" w:type="dxa"/>
            <w:tcBorders>
              <w:top w:val="nil"/>
              <w:left w:val="nil"/>
              <w:bottom w:val="nil"/>
              <w:right w:val="nil"/>
            </w:tcBorders>
            <w:shd w:val="clear" w:color="auto" w:fill="auto"/>
            <w:noWrap/>
            <w:vAlign w:val="bottom"/>
            <w:hideMark/>
          </w:tcPr>
          <w:p w14:paraId="617E04E7"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26.28 ± 3.40</w:t>
            </w:r>
            <w:r w:rsidRPr="00607185">
              <w:rPr>
                <w:rFonts w:ascii="Times New Roman" w:eastAsia="Times New Roman" w:hAnsi="Times New Roman" w:cs="Times New Roman"/>
                <w:sz w:val="24"/>
                <w:szCs w:val="24"/>
                <w:vertAlign w:val="superscript"/>
                <w:lang w:val="tr-TR" w:eastAsia="tr-TR"/>
              </w:rPr>
              <w:t>b</w:t>
            </w:r>
          </w:p>
        </w:tc>
        <w:tc>
          <w:tcPr>
            <w:tcW w:w="1391" w:type="dxa"/>
            <w:tcBorders>
              <w:top w:val="nil"/>
              <w:left w:val="nil"/>
              <w:bottom w:val="nil"/>
              <w:right w:val="nil"/>
            </w:tcBorders>
            <w:shd w:val="clear" w:color="auto" w:fill="auto"/>
            <w:noWrap/>
            <w:vAlign w:val="bottom"/>
            <w:hideMark/>
          </w:tcPr>
          <w:p w14:paraId="3A8EF1D4"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G1</w:t>
            </w:r>
          </w:p>
        </w:tc>
        <w:tc>
          <w:tcPr>
            <w:tcW w:w="2783" w:type="dxa"/>
            <w:tcBorders>
              <w:top w:val="nil"/>
              <w:left w:val="nil"/>
              <w:bottom w:val="nil"/>
              <w:right w:val="nil"/>
            </w:tcBorders>
            <w:shd w:val="clear" w:color="auto" w:fill="auto"/>
            <w:noWrap/>
            <w:vAlign w:val="bottom"/>
            <w:hideMark/>
          </w:tcPr>
          <w:p w14:paraId="18E018AD"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14.08 ± 1.16</w:t>
            </w:r>
            <w:r w:rsidRPr="00607185">
              <w:rPr>
                <w:rFonts w:ascii="Times New Roman" w:eastAsia="Times New Roman" w:hAnsi="Times New Roman" w:cs="Times New Roman"/>
                <w:sz w:val="24"/>
                <w:szCs w:val="24"/>
                <w:vertAlign w:val="superscript"/>
                <w:lang w:val="tr-TR" w:eastAsia="tr-TR"/>
              </w:rPr>
              <w:t>a</w:t>
            </w:r>
          </w:p>
        </w:tc>
      </w:tr>
      <w:tr w:rsidR="00607185" w:rsidRPr="00607185" w14:paraId="7560193D" w14:textId="77777777" w:rsidTr="00607185">
        <w:trPr>
          <w:trHeight w:val="305"/>
        </w:trPr>
        <w:tc>
          <w:tcPr>
            <w:tcW w:w="1391" w:type="dxa"/>
            <w:tcBorders>
              <w:top w:val="nil"/>
              <w:left w:val="nil"/>
              <w:bottom w:val="nil"/>
              <w:right w:val="nil"/>
            </w:tcBorders>
            <w:shd w:val="clear" w:color="auto" w:fill="auto"/>
            <w:noWrap/>
            <w:vAlign w:val="bottom"/>
            <w:hideMark/>
          </w:tcPr>
          <w:p w14:paraId="1732C6D1"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G2</w:t>
            </w:r>
          </w:p>
        </w:tc>
        <w:tc>
          <w:tcPr>
            <w:tcW w:w="2385" w:type="dxa"/>
            <w:tcBorders>
              <w:top w:val="nil"/>
              <w:left w:val="nil"/>
              <w:bottom w:val="nil"/>
              <w:right w:val="nil"/>
            </w:tcBorders>
            <w:shd w:val="clear" w:color="auto" w:fill="auto"/>
            <w:noWrap/>
            <w:vAlign w:val="bottom"/>
            <w:hideMark/>
          </w:tcPr>
          <w:p w14:paraId="1201FAF9"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79.93 ± 6.21</w:t>
            </w:r>
            <w:r w:rsidRPr="00607185">
              <w:rPr>
                <w:rFonts w:ascii="Times New Roman" w:eastAsia="Times New Roman" w:hAnsi="Times New Roman" w:cs="Times New Roman"/>
                <w:sz w:val="24"/>
                <w:szCs w:val="24"/>
                <w:vertAlign w:val="superscript"/>
                <w:lang w:val="tr-TR" w:eastAsia="tr-TR"/>
              </w:rPr>
              <w:t>c</w:t>
            </w:r>
          </w:p>
        </w:tc>
        <w:tc>
          <w:tcPr>
            <w:tcW w:w="1391" w:type="dxa"/>
            <w:tcBorders>
              <w:top w:val="nil"/>
              <w:left w:val="nil"/>
              <w:bottom w:val="nil"/>
              <w:right w:val="nil"/>
            </w:tcBorders>
            <w:shd w:val="clear" w:color="auto" w:fill="auto"/>
            <w:noWrap/>
            <w:vAlign w:val="bottom"/>
            <w:hideMark/>
          </w:tcPr>
          <w:p w14:paraId="7105DB06"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G2</w:t>
            </w:r>
          </w:p>
        </w:tc>
        <w:tc>
          <w:tcPr>
            <w:tcW w:w="2783" w:type="dxa"/>
            <w:tcBorders>
              <w:top w:val="nil"/>
              <w:left w:val="nil"/>
              <w:bottom w:val="nil"/>
              <w:right w:val="nil"/>
            </w:tcBorders>
            <w:shd w:val="clear" w:color="auto" w:fill="auto"/>
            <w:noWrap/>
            <w:vAlign w:val="bottom"/>
            <w:hideMark/>
          </w:tcPr>
          <w:p w14:paraId="08B07AB5"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62.39 ± 4.71</w:t>
            </w:r>
            <w:r w:rsidRPr="00607185">
              <w:rPr>
                <w:rFonts w:ascii="Times New Roman" w:eastAsia="Times New Roman" w:hAnsi="Times New Roman" w:cs="Times New Roman"/>
                <w:sz w:val="24"/>
                <w:szCs w:val="24"/>
                <w:vertAlign w:val="superscript"/>
                <w:lang w:val="tr-TR" w:eastAsia="tr-TR"/>
              </w:rPr>
              <w:t>b</w:t>
            </w:r>
          </w:p>
        </w:tc>
      </w:tr>
      <w:tr w:rsidR="00607185" w:rsidRPr="00607185" w14:paraId="35F3E82B" w14:textId="77777777" w:rsidTr="00607185">
        <w:trPr>
          <w:trHeight w:val="305"/>
        </w:trPr>
        <w:tc>
          <w:tcPr>
            <w:tcW w:w="1391" w:type="dxa"/>
            <w:tcBorders>
              <w:top w:val="nil"/>
              <w:left w:val="nil"/>
              <w:bottom w:val="nil"/>
              <w:right w:val="nil"/>
            </w:tcBorders>
            <w:shd w:val="clear" w:color="auto" w:fill="auto"/>
            <w:noWrap/>
            <w:vAlign w:val="bottom"/>
            <w:hideMark/>
          </w:tcPr>
          <w:p w14:paraId="02B52ECD"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G3</w:t>
            </w:r>
          </w:p>
        </w:tc>
        <w:tc>
          <w:tcPr>
            <w:tcW w:w="2385" w:type="dxa"/>
            <w:tcBorders>
              <w:top w:val="nil"/>
              <w:left w:val="nil"/>
              <w:bottom w:val="nil"/>
              <w:right w:val="nil"/>
            </w:tcBorders>
            <w:shd w:val="clear" w:color="auto" w:fill="auto"/>
            <w:noWrap/>
            <w:vAlign w:val="bottom"/>
            <w:hideMark/>
          </w:tcPr>
          <w:p w14:paraId="7BD128D7"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113.20 ± 3.61</w:t>
            </w:r>
            <w:r w:rsidRPr="00607185">
              <w:rPr>
                <w:rFonts w:ascii="Times New Roman" w:eastAsia="Times New Roman" w:hAnsi="Times New Roman" w:cs="Times New Roman"/>
                <w:sz w:val="24"/>
                <w:szCs w:val="24"/>
                <w:vertAlign w:val="superscript"/>
                <w:lang w:val="tr-TR" w:eastAsia="tr-TR"/>
              </w:rPr>
              <w:t>d</w:t>
            </w:r>
          </w:p>
        </w:tc>
        <w:tc>
          <w:tcPr>
            <w:tcW w:w="1391" w:type="dxa"/>
            <w:tcBorders>
              <w:top w:val="nil"/>
              <w:left w:val="nil"/>
              <w:bottom w:val="nil"/>
              <w:right w:val="nil"/>
            </w:tcBorders>
            <w:shd w:val="clear" w:color="auto" w:fill="auto"/>
            <w:noWrap/>
            <w:vAlign w:val="bottom"/>
            <w:hideMark/>
          </w:tcPr>
          <w:p w14:paraId="2218AD0E"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G3</w:t>
            </w:r>
          </w:p>
        </w:tc>
        <w:tc>
          <w:tcPr>
            <w:tcW w:w="2783" w:type="dxa"/>
            <w:tcBorders>
              <w:top w:val="nil"/>
              <w:left w:val="nil"/>
              <w:bottom w:val="nil"/>
              <w:right w:val="nil"/>
            </w:tcBorders>
            <w:shd w:val="clear" w:color="auto" w:fill="auto"/>
            <w:noWrap/>
            <w:vAlign w:val="bottom"/>
            <w:hideMark/>
          </w:tcPr>
          <w:p w14:paraId="27B3C0B0"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79.84 ± 0.89</w:t>
            </w:r>
            <w:r w:rsidRPr="00607185">
              <w:rPr>
                <w:rFonts w:ascii="Times New Roman" w:eastAsia="Times New Roman" w:hAnsi="Times New Roman" w:cs="Times New Roman"/>
                <w:sz w:val="24"/>
                <w:szCs w:val="24"/>
                <w:vertAlign w:val="superscript"/>
                <w:lang w:val="tr-TR" w:eastAsia="tr-TR"/>
              </w:rPr>
              <w:t>b</w:t>
            </w:r>
          </w:p>
        </w:tc>
      </w:tr>
      <w:tr w:rsidR="00607185" w:rsidRPr="00607185" w14:paraId="520AEB39" w14:textId="77777777" w:rsidTr="00607185">
        <w:trPr>
          <w:trHeight w:val="305"/>
        </w:trPr>
        <w:tc>
          <w:tcPr>
            <w:tcW w:w="1391" w:type="dxa"/>
            <w:tcBorders>
              <w:top w:val="nil"/>
              <w:left w:val="nil"/>
              <w:bottom w:val="nil"/>
              <w:right w:val="nil"/>
            </w:tcBorders>
            <w:shd w:val="clear" w:color="auto" w:fill="auto"/>
            <w:noWrap/>
            <w:vAlign w:val="bottom"/>
            <w:hideMark/>
          </w:tcPr>
          <w:p w14:paraId="691E975B"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FL</w:t>
            </w:r>
          </w:p>
        </w:tc>
        <w:tc>
          <w:tcPr>
            <w:tcW w:w="2385" w:type="dxa"/>
            <w:tcBorders>
              <w:top w:val="nil"/>
              <w:left w:val="nil"/>
              <w:bottom w:val="nil"/>
              <w:right w:val="nil"/>
            </w:tcBorders>
            <w:shd w:val="clear" w:color="auto" w:fill="auto"/>
            <w:noWrap/>
            <w:vAlign w:val="bottom"/>
            <w:hideMark/>
          </w:tcPr>
          <w:p w14:paraId="55A160D0"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128.51 ± 4.76</w:t>
            </w:r>
            <w:r w:rsidRPr="00607185">
              <w:rPr>
                <w:rFonts w:ascii="Times New Roman" w:eastAsia="Times New Roman" w:hAnsi="Times New Roman" w:cs="Times New Roman"/>
                <w:sz w:val="24"/>
                <w:szCs w:val="24"/>
                <w:vertAlign w:val="superscript"/>
                <w:lang w:val="tr-TR" w:eastAsia="tr-TR"/>
              </w:rPr>
              <w:t>e</w:t>
            </w:r>
          </w:p>
        </w:tc>
        <w:tc>
          <w:tcPr>
            <w:tcW w:w="1391" w:type="dxa"/>
            <w:tcBorders>
              <w:top w:val="nil"/>
              <w:left w:val="nil"/>
              <w:bottom w:val="nil"/>
              <w:right w:val="nil"/>
            </w:tcBorders>
            <w:shd w:val="clear" w:color="auto" w:fill="auto"/>
            <w:noWrap/>
            <w:vAlign w:val="bottom"/>
            <w:hideMark/>
          </w:tcPr>
          <w:p w14:paraId="2B0BF4D7"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FL</w:t>
            </w:r>
          </w:p>
        </w:tc>
        <w:tc>
          <w:tcPr>
            <w:tcW w:w="2783" w:type="dxa"/>
            <w:tcBorders>
              <w:top w:val="nil"/>
              <w:left w:val="nil"/>
              <w:bottom w:val="nil"/>
              <w:right w:val="nil"/>
            </w:tcBorders>
            <w:shd w:val="clear" w:color="auto" w:fill="auto"/>
            <w:noWrap/>
            <w:vAlign w:val="bottom"/>
            <w:hideMark/>
          </w:tcPr>
          <w:p w14:paraId="04BC9774"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77.67 ± 3.60</w:t>
            </w:r>
            <w:r w:rsidRPr="00607185">
              <w:rPr>
                <w:rFonts w:ascii="Times New Roman" w:eastAsia="Times New Roman" w:hAnsi="Times New Roman" w:cs="Times New Roman"/>
                <w:sz w:val="24"/>
                <w:szCs w:val="24"/>
                <w:vertAlign w:val="superscript"/>
                <w:lang w:val="tr-TR" w:eastAsia="tr-TR"/>
              </w:rPr>
              <w:t>c</w:t>
            </w:r>
          </w:p>
        </w:tc>
      </w:tr>
      <w:tr w:rsidR="00607185" w:rsidRPr="00607185" w14:paraId="26D1EE04" w14:textId="77777777" w:rsidTr="00607185">
        <w:trPr>
          <w:trHeight w:val="305"/>
        </w:trPr>
        <w:tc>
          <w:tcPr>
            <w:tcW w:w="1391" w:type="dxa"/>
            <w:tcBorders>
              <w:top w:val="nil"/>
              <w:left w:val="nil"/>
              <w:right w:val="nil"/>
            </w:tcBorders>
            <w:shd w:val="clear" w:color="auto" w:fill="auto"/>
            <w:noWrap/>
            <w:vAlign w:val="bottom"/>
            <w:hideMark/>
          </w:tcPr>
          <w:p w14:paraId="07EEB863"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FB</w:t>
            </w:r>
          </w:p>
        </w:tc>
        <w:tc>
          <w:tcPr>
            <w:tcW w:w="2385" w:type="dxa"/>
            <w:tcBorders>
              <w:top w:val="nil"/>
              <w:left w:val="nil"/>
              <w:right w:val="nil"/>
            </w:tcBorders>
            <w:shd w:val="clear" w:color="auto" w:fill="auto"/>
            <w:noWrap/>
            <w:vAlign w:val="bottom"/>
            <w:hideMark/>
          </w:tcPr>
          <w:p w14:paraId="6C2456CC"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152.38 ± 3.90</w:t>
            </w:r>
            <w:r w:rsidRPr="00607185">
              <w:rPr>
                <w:rFonts w:ascii="Times New Roman" w:eastAsia="Times New Roman" w:hAnsi="Times New Roman" w:cs="Times New Roman"/>
                <w:sz w:val="24"/>
                <w:szCs w:val="24"/>
                <w:vertAlign w:val="superscript"/>
                <w:lang w:val="tr-TR" w:eastAsia="tr-TR"/>
              </w:rPr>
              <w:t>f</w:t>
            </w:r>
          </w:p>
        </w:tc>
        <w:tc>
          <w:tcPr>
            <w:tcW w:w="1391" w:type="dxa"/>
            <w:tcBorders>
              <w:top w:val="nil"/>
              <w:left w:val="nil"/>
              <w:right w:val="nil"/>
            </w:tcBorders>
            <w:shd w:val="clear" w:color="auto" w:fill="auto"/>
            <w:noWrap/>
            <w:vAlign w:val="bottom"/>
            <w:hideMark/>
          </w:tcPr>
          <w:p w14:paraId="4922D016"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FB</w:t>
            </w:r>
          </w:p>
        </w:tc>
        <w:tc>
          <w:tcPr>
            <w:tcW w:w="2783" w:type="dxa"/>
            <w:tcBorders>
              <w:top w:val="nil"/>
              <w:left w:val="nil"/>
              <w:right w:val="nil"/>
            </w:tcBorders>
            <w:shd w:val="clear" w:color="auto" w:fill="auto"/>
            <w:noWrap/>
            <w:vAlign w:val="bottom"/>
            <w:hideMark/>
          </w:tcPr>
          <w:p w14:paraId="5795BF1F"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90.81 ± 0.87</w:t>
            </w:r>
            <w:r w:rsidRPr="00607185">
              <w:rPr>
                <w:rFonts w:ascii="Times New Roman" w:eastAsia="Times New Roman" w:hAnsi="Times New Roman" w:cs="Times New Roman"/>
                <w:sz w:val="24"/>
                <w:szCs w:val="24"/>
                <w:vertAlign w:val="superscript"/>
                <w:lang w:val="tr-TR" w:eastAsia="tr-TR"/>
              </w:rPr>
              <w:t>d</w:t>
            </w:r>
          </w:p>
        </w:tc>
      </w:tr>
      <w:tr w:rsidR="00607185" w:rsidRPr="00607185" w14:paraId="2EE7CD12" w14:textId="77777777" w:rsidTr="00607185">
        <w:trPr>
          <w:trHeight w:val="305"/>
        </w:trPr>
        <w:tc>
          <w:tcPr>
            <w:tcW w:w="1391" w:type="dxa"/>
            <w:tcBorders>
              <w:top w:val="nil"/>
              <w:left w:val="nil"/>
              <w:bottom w:val="single" w:sz="4" w:space="0" w:color="auto"/>
              <w:right w:val="nil"/>
            </w:tcBorders>
            <w:shd w:val="clear" w:color="auto" w:fill="auto"/>
            <w:noWrap/>
            <w:vAlign w:val="bottom"/>
            <w:hideMark/>
          </w:tcPr>
          <w:p w14:paraId="5EA4DC8E"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FBL</w:t>
            </w:r>
          </w:p>
        </w:tc>
        <w:tc>
          <w:tcPr>
            <w:tcW w:w="2385" w:type="dxa"/>
            <w:tcBorders>
              <w:top w:val="nil"/>
              <w:left w:val="nil"/>
              <w:bottom w:val="single" w:sz="4" w:space="0" w:color="auto"/>
              <w:right w:val="nil"/>
            </w:tcBorders>
            <w:shd w:val="clear" w:color="auto" w:fill="auto"/>
            <w:noWrap/>
            <w:vAlign w:val="bottom"/>
            <w:hideMark/>
          </w:tcPr>
          <w:p w14:paraId="75AE09E6" w14:textId="77777777" w:rsidR="00983447" w:rsidRPr="00607185" w:rsidRDefault="00983447" w:rsidP="009A1AAE">
            <w:pPr>
              <w:spacing w:after="0" w:line="240" w:lineRule="auto"/>
              <w:jc w:val="center"/>
              <w:rPr>
                <w:rFonts w:ascii="Times New Roman" w:eastAsia="Times New Roman" w:hAnsi="Times New Roman" w:cs="Times New Roman"/>
                <w:sz w:val="24"/>
                <w:szCs w:val="24"/>
                <w:vertAlign w:val="superscript"/>
                <w:lang w:val="tr-TR" w:eastAsia="tr-TR"/>
              </w:rPr>
            </w:pPr>
            <w:r w:rsidRPr="00607185">
              <w:rPr>
                <w:rFonts w:ascii="Times New Roman" w:eastAsia="Times New Roman" w:hAnsi="Times New Roman" w:cs="Times New Roman"/>
                <w:sz w:val="24"/>
                <w:szCs w:val="24"/>
                <w:lang w:val="tr-TR" w:eastAsia="tr-TR"/>
              </w:rPr>
              <w:t>175.98 ± 9.16</w:t>
            </w:r>
            <w:r w:rsidRPr="00607185">
              <w:rPr>
                <w:rFonts w:ascii="Times New Roman" w:eastAsia="Times New Roman" w:hAnsi="Times New Roman" w:cs="Times New Roman"/>
                <w:sz w:val="24"/>
                <w:szCs w:val="24"/>
                <w:vertAlign w:val="superscript"/>
                <w:lang w:val="tr-TR" w:eastAsia="tr-TR"/>
              </w:rPr>
              <w:t>f</w:t>
            </w:r>
          </w:p>
        </w:tc>
        <w:tc>
          <w:tcPr>
            <w:tcW w:w="1391" w:type="dxa"/>
            <w:tcBorders>
              <w:top w:val="nil"/>
              <w:left w:val="nil"/>
              <w:bottom w:val="single" w:sz="4" w:space="0" w:color="auto"/>
              <w:right w:val="nil"/>
            </w:tcBorders>
            <w:shd w:val="clear" w:color="auto" w:fill="auto"/>
            <w:noWrap/>
            <w:vAlign w:val="bottom"/>
            <w:hideMark/>
          </w:tcPr>
          <w:p w14:paraId="30BEC659"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FBL</w:t>
            </w:r>
          </w:p>
        </w:tc>
        <w:tc>
          <w:tcPr>
            <w:tcW w:w="2783" w:type="dxa"/>
            <w:tcBorders>
              <w:top w:val="nil"/>
              <w:left w:val="nil"/>
              <w:bottom w:val="single" w:sz="4" w:space="0" w:color="auto"/>
              <w:right w:val="nil"/>
            </w:tcBorders>
            <w:shd w:val="clear" w:color="auto" w:fill="auto"/>
            <w:noWrap/>
            <w:vAlign w:val="bottom"/>
            <w:hideMark/>
          </w:tcPr>
          <w:p w14:paraId="21CC1FAC" w14:textId="77777777" w:rsidR="00983447" w:rsidRPr="00607185" w:rsidRDefault="00983447" w:rsidP="009A1AAE">
            <w:pPr>
              <w:spacing w:after="0" w:line="240" w:lineRule="auto"/>
              <w:jc w:val="center"/>
              <w:rPr>
                <w:rFonts w:ascii="Times New Roman" w:eastAsia="Times New Roman" w:hAnsi="Times New Roman" w:cs="Times New Roman"/>
                <w:sz w:val="24"/>
                <w:szCs w:val="24"/>
                <w:lang w:val="tr-TR" w:eastAsia="tr-TR"/>
              </w:rPr>
            </w:pPr>
            <w:r w:rsidRPr="00607185">
              <w:rPr>
                <w:rFonts w:ascii="Times New Roman" w:eastAsia="Times New Roman" w:hAnsi="Times New Roman" w:cs="Times New Roman"/>
                <w:sz w:val="24"/>
                <w:szCs w:val="24"/>
                <w:lang w:val="tr-TR" w:eastAsia="tr-TR"/>
              </w:rPr>
              <w:t>102.45 ± 1.33</w:t>
            </w:r>
            <w:r w:rsidRPr="00607185">
              <w:rPr>
                <w:rFonts w:ascii="Times New Roman" w:eastAsia="Times New Roman" w:hAnsi="Times New Roman" w:cs="Times New Roman"/>
                <w:sz w:val="24"/>
                <w:szCs w:val="24"/>
                <w:vertAlign w:val="superscript"/>
                <w:lang w:val="tr-TR" w:eastAsia="tr-TR"/>
              </w:rPr>
              <w:t>e</w:t>
            </w:r>
          </w:p>
        </w:tc>
      </w:tr>
    </w:tbl>
    <w:p w14:paraId="0DB2FF3D" w14:textId="77777777" w:rsidR="00983447" w:rsidRPr="00607185" w:rsidRDefault="00983447" w:rsidP="00983447">
      <w:pPr>
        <w:spacing w:after="0" w:line="480" w:lineRule="auto"/>
        <w:rPr>
          <w:rFonts w:ascii="Times New Roman" w:hAnsi="Times New Roman" w:cs="Times New Roman"/>
          <w:bCs/>
          <w:sz w:val="20"/>
          <w:szCs w:val="20"/>
        </w:rPr>
      </w:pPr>
      <w:r w:rsidRPr="00607185">
        <w:rPr>
          <w:rFonts w:ascii="Times New Roman" w:hAnsi="Times New Roman" w:cs="Times New Roman"/>
          <w:bCs/>
          <w:sz w:val="20"/>
          <w:szCs w:val="20"/>
        </w:rPr>
        <w:t>*</w:t>
      </w:r>
      <w:r w:rsidRPr="00607185">
        <w:t xml:space="preserve"> </w:t>
      </w:r>
      <w:r w:rsidRPr="00607185">
        <w:rPr>
          <w:rFonts w:ascii="Times New Roman" w:hAnsi="Times New Roman" w:cs="Times New Roman"/>
          <w:bCs/>
          <w:sz w:val="20"/>
          <w:szCs w:val="20"/>
        </w:rPr>
        <w:t>LOQ for DAD was 2.94 ppm.</w:t>
      </w:r>
    </w:p>
    <w:p w14:paraId="26F67684" w14:textId="3942594C" w:rsidR="00983447" w:rsidRPr="00607185" w:rsidRDefault="00983447" w:rsidP="00983447">
      <w:pPr>
        <w:spacing w:after="0" w:line="480" w:lineRule="auto"/>
        <w:jc w:val="both"/>
        <w:rPr>
          <w:rFonts w:ascii="Times New Roman" w:hAnsi="Times New Roman" w:cs="Times New Roman"/>
          <w:bCs/>
          <w:sz w:val="20"/>
          <w:szCs w:val="20"/>
        </w:rPr>
      </w:pPr>
      <w:bookmarkStart w:id="1" w:name="_Hlk137645633"/>
      <w:r w:rsidRPr="00607185">
        <w:rPr>
          <w:rFonts w:ascii="Times New Roman" w:hAnsi="Times New Roman" w:cs="Times New Roman"/>
          <w:bCs/>
          <w:sz w:val="20"/>
          <w:szCs w:val="20"/>
        </w:rPr>
        <w:t xml:space="preserve">** U: untreated; G1, G2, and G3: germinated for 1 day, 2 days, and 3 days; FL, FB, and FBL: solid state fermented by </w:t>
      </w:r>
      <w:r w:rsidRPr="00607185">
        <w:rPr>
          <w:rFonts w:ascii="Times New Roman" w:hAnsi="Times New Roman" w:cs="Times New Roman"/>
          <w:bCs/>
          <w:i/>
          <w:iCs/>
          <w:sz w:val="20"/>
          <w:szCs w:val="20"/>
        </w:rPr>
        <w:t xml:space="preserve">L. </w:t>
      </w:r>
      <w:r w:rsidR="0031102D">
        <w:rPr>
          <w:rFonts w:ascii="Times New Roman" w:hAnsi="Times New Roman" w:cs="Times New Roman"/>
          <w:bCs/>
          <w:i/>
          <w:iCs/>
          <w:sz w:val="20"/>
          <w:szCs w:val="20"/>
        </w:rPr>
        <w:t>casei</w:t>
      </w:r>
      <w:r w:rsidRPr="00607185">
        <w:rPr>
          <w:rFonts w:ascii="Times New Roman" w:hAnsi="Times New Roman" w:cs="Times New Roman"/>
          <w:bCs/>
          <w:sz w:val="20"/>
          <w:szCs w:val="20"/>
        </w:rPr>
        <w:t xml:space="preserve">, </w:t>
      </w:r>
      <w:r w:rsidRPr="00607185">
        <w:rPr>
          <w:rFonts w:ascii="Times New Roman" w:hAnsi="Times New Roman" w:cs="Times New Roman"/>
          <w:bCs/>
          <w:i/>
          <w:iCs/>
          <w:sz w:val="20"/>
          <w:szCs w:val="20"/>
        </w:rPr>
        <w:t>B. subtilis</w:t>
      </w:r>
      <w:r w:rsidR="00AD064D" w:rsidRPr="00607185">
        <w:rPr>
          <w:rFonts w:ascii="Times New Roman" w:hAnsi="Times New Roman" w:cs="Times New Roman"/>
          <w:bCs/>
          <w:i/>
          <w:iCs/>
          <w:sz w:val="20"/>
          <w:szCs w:val="20"/>
        </w:rPr>
        <w:t>,</w:t>
      </w:r>
      <w:r w:rsidRPr="00607185">
        <w:rPr>
          <w:rFonts w:ascii="Times New Roman" w:hAnsi="Times New Roman" w:cs="Times New Roman"/>
          <w:bCs/>
          <w:sz w:val="20"/>
          <w:szCs w:val="20"/>
        </w:rPr>
        <w:t xml:space="preserve"> and their co-cultures</w:t>
      </w:r>
      <w:r w:rsidR="008642AD" w:rsidRPr="00607185">
        <w:rPr>
          <w:rFonts w:ascii="Times New Roman" w:hAnsi="Times New Roman" w:cs="Times New Roman"/>
          <w:bCs/>
          <w:sz w:val="20"/>
          <w:szCs w:val="20"/>
        </w:rPr>
        <w:t>, respectively</w:t>
      </w:r>
      <w:r w:rsidRPr="00607185">
        <w:rPr>
          <w:rFonts w:ascii="Times New Roman" w:hAnsi="Times New Roman" w:cs="Times New Roman"/>
          <w:bCs/>
          <w:sz w:val="20"/>
          <w:szCs w:val="20"/>
        </w:rPr>
        <w:t>.</w:t>
      </w:r>
    </w:p>
    <w:bookmarkEnd w:id="1"/>
    <w:p w14:paraId="3A8FB059" w14:textId="5C319784" w:rsidR="007E50FD" w:rsidRPr="00607185" w:rsidRDefault="00983447" w:rsidP="00E05E27">
      <w:pPr>
        <w:spacing w:after="0" w:line="480" w:lineRule="auto"/>
        <w:rPr>
          <w:rFonts w:ascii="Times New Roman" w:hAnsi="Times New Roman" w:cs="Times New Roman"/>
          <w:bCs/>
          <w:sz w:val="20"/>
          <w:szCs w:val="20"/>
        </w:rPr>
      </w:pPr>
      <w:r w:rsidRPr="00607185">
        <w:rPr>
          <w:rFonts w:ascii="Times New Roman" w:hAnsi="Times New Roman" w:cs="Times New Roman"/>
          <w:bCs/>
          <w:sz w:val="20"/>
          <w:szCs w:val="20"/>
        </w:rPr>
        <w:t>**Values are means ± SD. Letters indicate significant (</w:t>
      </w:r>
      <w:r w:rsidRPr="00607185">
        <w:rPr>
          <w:rFonts w:ascii="Times New Roman" w:hAnsi="Times New Roman" w:cs="Times New Roman"/>
          <w:bCs/>
          <w:i/>
          <w:iCs/>
          <w:sz w:val="20"/>
          <w:szCs w:val="20"/>
        </w:rPr>
        <w:t>p</w:t>
      </w:r>
      <w:r w:rsidRPr="00607185">
        <w:rPr>
          <w:rFonts w:ascii="Times New Roman" w:hAnsi="Times New Roman" w:cs="Times New Roman"/>
          <w:bCs/>
          <w:sz w:val="20"/>
          <w:szCs w:val="20"/>
        </w:rPr>
        <w:t xml:space="preserve"> &lt; 0.05) </w:t>
      </w:r>
      <w:r w:rsidR="00AD064D" w:rsidRPr="00607185">
        <w:rPr>
          <w:rFonts w:ascii="Times New Roman" w:hAnsi="Times New Roman" w:cs="Times New Roman"/>
          <w:bCs/>
          <w:sz w:val="20"/>
          <w:szCs w:val="20"/>
        </w:rPr>
        <w:t>differences</w:t>
      </w:r>
      <w:r w:rsidRPr="00607185">
        <w:rPr>
          <w:rFonts w:ascii="Times New Roman" w:hAnsi="Times New Roman" w:cs="Times New Roman"/>
          <w:bCs/>
          <w:sz w:val="20"/>
          <w:szCs w:val="20"/>
        </w:rPr>
        <w:t xml:space="preserve"> within the same column.</w:t>
      </w:r>
    </w:p>
    <w:sectPr w:rsidR="007E50FD" w:rsidRPr="00607185" w:rsidSect="00CE00A1">
      <w:pgSz w:w="12240" w:h="15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9306" w14:textId="77777777" w:rsidR="00CE00A1" w:rsidRDefault="00CE00A1" w:rsidP="005F165C">
      <w:pPr>
        <w:spacing w:after="0" w:line="240" w:lineRule="auto"/>
      </w:pPr>
      <w:r>
        <w:separator/>
      </w:r>
    </w:p>
  </w:endnote>
  <w:endnote w:type="continuationSeparator" w:id="0">
    <w:p w14:paraId="5B6F3C07" w14:textId="77777777" w:rsidR="00CE00A1" w:rsidRDefault="00CE00A1" w:rsidP="005F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588478"/>
      <w:docPartObj>
        <w:docPartGallery w:val="Page Numbers (Bottom of Page)"/>
        <w:docPartUnique/>
      </w:docPartObj>
    </w:sdtPr>
    <w:sdtContent>
      <w:p w14:paraId="61EBE7ED" w14:textId="11EBC77A" w:rsidR="005F165C" w:rsidRDefault="005F165C">
        <w:pPr>
          <w:pStyle w:val="AltBilgi"/>
          <w:jc w:val="center"/>
        </w:pPr>
        <w:r>
          <w:fldChar w:fldCharType="begin"/>
        </w:r>
        <w:r>
          <w:instrText>PAGE   \* MERGEFORMAT</w:instrText>
        </w:r>
        <w:r>
          <w:fldChar w:fldCharType="separate"/>
        </w:r>
        <w:r>
          <w:rPr>
            <w:lang w:val="tr-TR"/>
          </w:rPr>
          <w:t>2</w:t>
        </w:r>
        <w:r>
          <w:fldChar w:fldCharType="end"/>
        </w:r>
      </w:p>
    </w:sdtContent>
  </w:sdt>
  <w:p w14:paraId="5719D281" w14:textId="77777777" w:rsidR="005F165C" w:rsidRDefault="005F16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2B32" w14:textId="77777777" w:rsidR="00CE00A1" w:rsidRDefault="00CE00A1" w:rsidP="005F165C">
      <w:pPr>
        <w:spacing w:after="0" w:line="240" w:lineRule="auto"/>
      </w:pPr>
      <w:r>
        <w:separator/>
      </w:r>
    </w:p>
  </w:footnote>
  <w:footnote w:type="continuationSeparator" w:id="0">
    <w:p w14:paraId="5C9F4979" w14:textId="77777777" w:rsidR="00CE00A1" w:rsidRDefault="00CE00A1" w:rsidP="005F16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8"/>
    <w:rsid w:val="00000B5E"/>
    <w:rsid w:val="00035544"/>
    <w:rsid w:val="000B6729"/>
    <w:rsid w:val="00164388"/>
    <w:rsid w:val="001D0076"/>
    <w:rsid w:val="00236975"/>
    <w:rsid w:val="002E363E"/>
    <w:rsid w:val="0031102D"/>
    <w:rsid w:val="00320FA3"/>
    <w:rsid w:val="003A2A4E"/>
    <w:rsid w:val="003C514A"/>
    <w:rsid w:val="005F165C"/>
    <w:rsid w:val="00607185"/>
    <w:rsid w:val="00637A12"/>
    <w:rsid w:val="007515A0"/>
    <w:rsid w:val="007E50FD"/>
    <w:rsid w:val="008642AD"/>
    <w:rsid w:val="008B2D68"/>
    <w:rsid w:val="00983447"/>
    <w:rsid w:val="00A21F67"/>
    <w:rsid w:val="00AB6765"/>
    <w:rsid w:val="00AD064D"/>
    <w:rsid w:val="00B55218"/>
    <w:rsid w:val="00B6766F"/>
    <w:rsid w:val="00C15DBD"/>
    <w:rsid w:val="00C23909"/>
    <w:rsid w:val="00CE00A1"/>
    <w:rsid w:val="00D27C7F"/>
    <w:rsid w:val="00DD4BBF"/>
    <w:rsid w:val="00E05E27"/>
    <w:rsid w:val="00EA7C36"/>
    <w:rsid w:val="00ED6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C28C0"/>
  <w15:chartTrackingRefBased/>
  <w15:docId w15:val="{972DDCB0-EBE7-444F-95CA-F46A74AA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88"/>
    <w:rPr>
      <w:kern w:val="0"/>
      <w:lang w:val="en-US"/>
      <w14:ligatures w14:val="none"/>
    </w:rPr>
  </w:style>
  <w:style w:type="paragraph" w:styleId="Balk1">
    <w:name w:val="heading 1"/>
    <w:basedOn w:val="Normal"/>
    <w:next w:val="Normal"/>
    <w:link w:val="Balk1Char"/>
    <w:uiPriority w:val="9"/>
    <w:qFormat/>
    <w:rsid w:val="00164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643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164388"/>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38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alk2Char">
    <w:name w:val="Başlık 2 Char"/>
    <w:basedOn w:val="VarsaylanParagrafYazTipi"/>
    <w:link w:val="Balk2"/>
    <w:uiPriority w:val="9"/>
    <w:rsid w:val="001643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Balk3Char">
    <w:name w:val="Başlık 3 Char"/>
    <w:basedOn w:val="VarsaylanParagrafYazTipi"/>
    <w:link w:val="Balk3"/>
    <w:uiPriority w:val="9"/>
    <w:rsid w:val="00164388"/>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unhideWhenUsed/>
    <w:rsid w:val="00164388"/>
    <w:pPr>
      <w:spacing w:before="100" w:beforeAutospacing="1" w:after="100" w:afterAutospacing="1" w:line="240" w:lineRule="auto"/>
    </w:pPr>
    <w:rPr>
      <w:rFonts w:ascii="Times New Roman" w:eastAsiaTheme="minorEastAsia" w:hAnsi="Times New Roman" w:cs="Times New Roman"/>
      <w:sz w:val="24"/>
      <w:szCs w:val="24"/>
    </w:rPr>
  </w:style>
  <w:style w:type="character" w:styleId="Kpr">
    <w:name w:val="Hyperlink"/>
    <w:basedOn w:val="VarsaylanParagrafYazTipi"/>
    <w:uiPriority w:val="99"/>
    <w:unhideWhenUsed/>
    <w:rsid w:val="00D27C7F"/>
    <w:rPr>
      <w:color w:val="0000FF"/>
      <w:u w:val="single"/>
    </w:rPr>
  </w:style>
  <w:style w:type="character" w:styleId="SatrNumaras">
    <w:name w:val="line number"/>
    <w:basedOn w:val="VarsaylanParagrafYazTipi"/>
    <w:uiPriority w:val="99"/>
    <w:semiHidden/>
    <w:unhideWhenUsed/>
    <w:rsid w:val="000B6729"/>
  </w:style>
  <w:style w:type="paragraph" w:styleId="stBilgi">
    <w:name w:val="header"/>
    <w:basedOn w:val="Normal"/>
    <w:link w:val="stBilgiChar"/>
    <w:uiPriority w:val="99"/>
    <w:unhideWhenUsed/>
    <w:rsid w:val="005F16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165C"/>
    <w:rPr>
      <w:kern w:val="0"/>
      <w:lang w:val="en-US"/>
      <w14:ligatures w14:val="none"/>
    </w:rPr>
  </w:style>
  <w:style w:type="paragraph" w:styleId="AltBilgi">
    <w:name w:val="footer"/>
    <w:basedOn w:val="Normal"/>
    <w:link w:val="AltBilgiChar"/>
    <w:uiPriority w:val="99"/>
    <w:unhideWhenUsed/>
    <w:rsid w:val="005F16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165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feng@ncat.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F690-49FD-4E5D-8855-F95F1778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239</Words>
  <Characters>1368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karabulut</dc:creator>
  <cp:keywords/>
  <dc:description/>
  <cp:lastModifiedBy>gülşah karabulut</cp:lastModifiedBy>
  <cp:revision>21</cp:revision>
  <dcterms:created xsi:type="dcterms:W3CDTF">2023-11-06T09:17:00Z</dcterms:created>
  <dcterms:modified xsi:type="dcterms:W3CDTF">2024-04-27T14:40:00Z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http://www.zotero.org/styles/food-chemistry</vt:lpwstr>
  </property>
  <property fmtid="{D5CDD505-2E9C-101B-9397-08002B2CF9AE}" pid="9" name="Mendeley Recent Style Name 3_1">
    <vt:lpwstr>Food Chemistry</vt:lpwstr>
  </property>
  <property fmtid="{D5CDD505-2E9C-101B-9397-08002B2CF9AE}" pid="10" name="Mendeley Recent Style Id 4_1">
    <vt:lpwstr>http://www.zotero.org/styles/international-journal-of-biological-macromolecules</vt:lpwstr>
  </property>
  <property fmtid="{D5CDD505-2E9C-101B-9397-08002B2CF9AE}" pid="11" name="Mendeley Recent Style Name 4_1">
    <vt:lpwstr>International Journal of Biological Macromolecules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http://www.zotero.org/styles/trends-in-food-science-and-technology</vt:lpwstr>
  </property>
  <property fmtid="{D5CDD505-2E9C-101B-9397-08002B2CF9AE}" pid="19" name="Mendeley Recent Style Name 8_1">
    <vt:lpwstr>Trends in Food Science &amp; Technology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56eb99193822c8e56c20244d43f78f1d471420bd6a2228fee6bcdcf6a040c513</vt:lpwstr>
  </property>
</Properties>
</file>