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B5C4" w14:textId="77777777" w:rsidR="00B316F9" w:rsidRPr="00B316F9" w:rsidRDefault="00B316F9" w:rsidP="00BA4FEB">
      <w:pPr>
        <w:jc w:val="center"/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</w:pPr>
    </w:p>
    <w:p w14:paraId="55F7407A" w14:textId="59C7248A" w:rsidR="00BA4FEB" w:rsidRPr="00B316F9" w:rsidRDefault="00BA4FEB" w:rsidP="00BA4FEB">
      <w:pPr>
        <w:jc w:val="center"/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</w:pPr>
      <w:r w:rsidRPr="00B316F9"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  <w:t>Supplemental Material S</w:t>
      </w:r>
      <w:r w:rsidR="009A1EEF"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  <w:t>1</w:t>
      </w:r>
      <w:r w:rsidRPr="00B316F9"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  <w:t xml:space="preserve">: </w:t>
      </w:r>
      <w:r w:rsidR="003621EE" w:rsidRPr="00B316F9"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  <w:t xml:space="preserve">Synthesized </w:t>
      </w:r>
      <w:r w:rsidRPr="00B316F9"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  <w:t>Outcome Measures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498"/>
        <w:gridCol w:w="2632"/>
        <w:gridCol w:w="3330"/>
        <w:gridCol w:w="5930"/>
      </w:tblGrid>
      <w:tr w:rsidR="00A8708A" w:rsidRPr="00B316F9" w14:paraId="2C2109FA" w14:textId="357BB8C5" w:rsidTr="00994EE9">
        <w:tc>
          <w:tcPr>
            <w:tcW w:w="14390" w:type="dxa"/>
            <w:gridSpan w:val="4"/>
            <w:tcBorders>
              <w:bottom w:val="single" w:sz="4" w:space="0" w:color="auto"/>
            </w:tcBorders>
          </w:tcPr>
          <w:p w14:paraId="01B82632" w14:textId="77777777" w:rsidR="00A8708A" w:rsidRPr="00B316F9" w:rsidRDefault="00A8708A" w:rsidP="00BA4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1</w:t>
            </w:r>
          </w:p>
          <w:p w14:paraId="666C3395" w14:textId="109DF0F5" w:rsidR="00A8708A" w:rsidRPr="00B316F9" w:rsidRDefault="00A8708A" w:rsidP="00BA4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Descriptions of Outcome Measures</w:t>
            </w:r>
          </w:p>
        </w:tc>
      </w:tr>
      <w:tr w:rsidR="00A8708A" w:rsidRPr="00B316F9" w14:paraId="4A0DCEB8" w14:textId="77777777" w:rsidTr="00994EE9">
        <w:tc>
          <w:tcPr>
            <w:tcW w:w="14390" w:type="dxa"/>
            <w:gridSpan w:val="4"/>
            <w:tcBorders>
              <w:top w:val="single" w:sz="4" w:space="0" w:color="auto"/>
            </w:tcBorders>
          </w:tcPr>
          <w:p w14:paraId="2915F2BC" w14:textId="7DCE3768" w:rsidR="00A8708A" w:rsidRPr="00B316F9" w:rsidRDefault="00727F16" w:rsidP="00BA4FE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31413"/>
                <w:sz w:val="24"/>
                <w:szCs w:val="24"/>
              </w:rPr>
            </w:pPr>
            <w:r w:rsidRPr="00FC3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31413"/>
                <w:sz w:val="24"/>
                <w:szCs w:val="24"/>
              </w:rPr>
              <w:t xml:space="preserve">Cannabis </w:t>
            </w:r>
            <w:r w:rsidR="00972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31413"/>
                <w:sz w:val="24"/>
                <w:szCs w:val="24"/>
              </w:rPr>
              <w:t>Consumption Level</w:t>
            </w:r>
          </w:p>
        </w:tc>
      </w:tr>
      <w:tr w:rsidR="0043158C" w:rsidRPr="00B316F9" w14:paraId="1F652EDA" w14:textId="77777777" w:rsidTr="0073193E">
        <w:tc>
          <w:tcPr>
            <w:tcW w:w="2498" w:type="dxa"/>
            <w:tcBorders>
              <w:bottom w:val="single" w:sz="4" w:space="0" w:color="auto"/>
            </w:tcBorders>
          </w:tcPr>
          <w:p w14:paraId="36D7068E" w14:textId="6E07B42D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Study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72234ED3" w14:textId="389818E3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4F93DB4E" w14:textId="3DFF7DBA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Instrument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7651137A" w14:textId="0D872A6E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Description</w:t>
            </w:r>
          </w:p>
        </w:tc>
      </w:tr>
      <w:tr w:rsidR="00A8708A" w:rsidRPr="00B316F9" w14:paraId="20ACF34F" w14:textId="4417964A" w:rsidTr="0073193E">
        <w:trPr>
          <w:trHeight w:val="1808"/>
        </w:trPr>
        <w:tc>
          <w:tcPr>
            <w:tcW w:w="2498" w:type="dxa"/>
            <w:tcBorders>
              <w:top w:val="single" w:sz="4" w:space="0" w:color="auto"/>
            </w:tcBorders>
          </w:tcPr>
          <w:p w14:paraId="6CB91945" w14:textId="4A53A4E5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Bernstein et al. (2009)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140B5AF7" w14:textId="0CE1A7F5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 of cannabis use (past 30 days)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12AD629E" w14:textId="7E97B189" w:rsidR="00A8708A" w:rsidRPr="00B316F9" w:rsidRDefault="009128EE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Timeline Follow-Back </w:t>
            </w:r>
            <w:r w:rsidR="00A8708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(TLFB</w:t>
            </w:r>
            <w:r w:rsidR="00E95C5E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E95C5E" w:rsidRPr="00B316F9">
              <w:rPr>
                <w:rFonts w:ascii="Times New Roman" w:hAnsi="Times New Roman" w:cs="Times New Roman"/>
                <w:sz w:val="24"/>
                <w:szCs w:val="24"/>
              </w:rPr>
              <w:t>Sobell &amp; Sobell, 1992)</w:t>
            </w:r>
          </w:p>
        </w:tc>
        <w:tc>
          <w:tcPr>
            <w:tcW w:w="5930" w:type="dxa"/>
            <w:tcBorders>
              <w:top w:val="single" w:sz="4" w:space="0" w:color="auto"/>
            </w:tcBorders>
          </w:tcPr>
          <w:p w14:paraId="57ED7AC9" w14:textId="0EDB78F3" w:rsidR="00A8708A" w:rsidRPr="00B316F9" w:rsidRDefault="009128EE" w:rsidP="00A8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TLFB</w:t>
            </w:r>
            <w:proofErr w:type="gramEnd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a retrospective calendar-based measure </w:t>
            </w:r>
            <w:r w:rsidR="009348C7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</w:t>
            </w:r>
            <w:r w:rsidR="00E95C5E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substance use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over a specified </w:t>
            </w:r>
            <w:r w:rsidR="009348C7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time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</w:t>
            </w:r>
            <w:r w:rsidR="00E95C5E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774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It has demonstrated strong reliability and validity in measuring cannabis use</w:t>
            </w:r>
            <w:r w:rsidR="009348C7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48C7" w:rsidRPr="00B316F9">
              <w:rPr>
                <w:rFonts w:ascii="Times New Roman" w:hAnsi="Times New Roman" w:cs="Times New Roman"/>
                <w:sz w:val="24"/>
                <w:szCs w:val="24"/>
              </w:rPr>
              <w:t>(Robinson et al., 2014)</w:t>
            </w:r>
            <w:r w:rsidR="0017774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including high agreement with biological measures </w:t>
            </w:r>
            <w:r w:rsidR="009348C7" w:rsidRPr="00B316F9">
              <w:rPr>
                <w:rFonts w:ascii="Times New Roman" w:hAnsi="Times New Roman" w:cs="Times New Roman"/>
                <w:sz w:val="24"/>
                <w:szCs w:val="24"/>
              </w:rPr>
              <w:t>(Hjorthøj et al., 2012)</w:t>
            </w:r>
            <w:r w:rsidR="009348C7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708A" w:rsidRPr="00B316F9" w14:paraId="1C5CA88D" w14:textId="4C8C4C0F" w:rsidTr="0073193E">
        <w:tc>
          <w:tcPr>
            <w:tcW w:w="2498" w:type="dxa"/>
          </w:tcPr>
          <w:p w14:paraId="1508474F" w14:textId="72E52C7D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Blow et al. (2017)</w:t>
            </w:r>
          </w:p>
        </w:tc>
        <w:tc>
          <w:tcPr>
            <w:tcW w:w="2632" w:type="dxa"/>
          </w:tcPr>
          <w:p w14:paraId="79A450D3" w14:textId="560E7CFF" w:rsidR="00A8708A" w:rsidRPr="00B316F9" w:rsidRDefault="00FB26B2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Days of cannabis use (past </w:t>
            </w:r>
            <w:r w:rsidR="00D3320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days)</w:t>
            </w:r>
          </w:p>
        </w:tc>
        <w:tc>
          <w:tcPr>
            <w:tcW w:w="3330" w:type="dxa"/>
          </w:tcPr>
          <w:p w14:paraId="2FBDB886" w14:textId="678F3CC1" w:rsidR="00A8708A" w:rsidRPr="00B316F9" w:rsidRDefault="00E95C5E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TLFB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(Sobell &amp; Sobell, 1992)</w:t>
            </w:r>
          </w:p>
        </w:tc>
        <w:tc>
          <w:tcPr>
            <w:tcW w:w="5930" w:type="dxa"/>
          </w:tcPr>
          <w:p w14:paraId="3D4EA986" w14:textId="4EAB1CB6" w:rsidR="00A8708A" w:rsidRPr="00B316F9" w:rsidRDefault="009348C7" w:rsidP="00A8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TLFB</w:t>
            </w:r>
            <w:proofErr w:type="gramEnd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a retrospective calendar-based measure of substance use over a specified time period. It has demonstrated strong reliability and validity in measuring cannabis use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(Robinson et al., 2014)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including high agreement with biological measures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(Hjorthøj et al., 2012)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708A" w:rsidRPr="00B316F9" w14:paraId="35085E5B" w14:textId="0DCA5DDD" w:rsidTr="0073193E">
        <w:tc>
          <w:tcPr>
            <w:tcW w:w="2498" w:type="dxa"/>
          </w:tcPr>
          <w:p w14:paraId="4BC160AF" w14:textId="67404F20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D'Amico et al. (2008)</w:t>
            </w:r>
          </w:p>
        </w:tc>
        <w:tc>
          <w:tcPr>
            <w:tcW w:w="2632" w:type="dxa"/>
          </w:tcPr>
          <w:p w14:paraId="54A6EB0F" w14:textId="6D257BD5" w:rsidR="00A8708A" w:rsidRPr="00B316F9" w:rsidRDefault="00FB26B2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 of cannabis use (past month)</w:t>
            </w:r>
          </w:p>
        </w:tc>
        <w:tc>
          <w:tcPr>
            <w:tcW w:w="3330" w:type="dxa"/>
          </w:tcPr>
          <w:p w14:paraId="22947990" w14:textId="17F2652E" w:rsidR="00A8708A" w:rsidRPr="00B316F9" w:rsidRDefault="00FB26B2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RAND Adolescent/Young Adult Panel Survey</w:t>
            </w:r>
            <w:r w:rsidR="00E9142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1423" w:rsidRPr="00B316F9">
              <w:rPr>
                <w:rFonts w:ascii="Times New Roman" w:hAnsi="Times New Roman" w:cs="Times New Roman"/>
                <w:sz w:val="24"/>
                <w:szCs w:val="24"/>
              </w:rPr>
              <w:t>(Tucker et al., 2003)</w:t>
            </w:r>
          </w:p>
        </w:tc>
        <w:tc>
          <w:tcPr>
            <w:tcW w:w="5930" w:type="dxa"/>
          </w:tcPr>
          <w:p w14:paraId="277F9525" w14:textId="03A07F47" w:rsidR="00A8708A" w:rsidRPr="00B316F9" w:rsidRDefault="00D3765F" w:rsidP="00A8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Single item assessing the number of days cannabis was used </w:t>
            </w:r>
            <w:r w:rsidR="006610B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past month. Participants </w:t>
            </w:r>
            <w:r w:rsidR="00E9142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reported days of cannabis use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a 6-point Likert scale (0 = none, 5 = 10 or more days).</w:t>
            </w:r>
          </w:p>
        </w:tc>
      </w:tr>
      <w:tr w:rsidR="00A8708A" w:rsidRPr="00B316F9" w14:paraId="58CE1D86" w14:textId="64896636" w:rsidTr="0073193E">
        <w:tc>
          <w:tcPr>
            <w:tcW w:w="2498" w:type="dxa"/>
          </w:tcPr>
          <w:p w14:paraId="443C1AEC" w14:textId="0D942ADC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D'Amico et al. (2018)</w:t>
            </w:r>
          </w:p>
        </w:tc>
        <w:tc>
          <w:tcPr>
            <w:tcW w:w="2632" w:type="dxa"/>
          </w:tcPr>
          <w:p w14:paraId="50E1AA19" w14:textId="4D2071F3" w:rsidR="00A8708A" w:rsidRPr="00B316F9" w:rsidRDefault="00D33205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</w:t>
            </w:r>
            <w:r w:rsidR="00A8708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times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cannabis was used</w:t>
            </w:r>
            <w:r w:rsidR="00A8708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8708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past </w:t>
            </w:r>
            <w:r w:rsidR="00994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three</w:t>
            </w:r>
            <w:r w:rsidR="00A8708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months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7C475D2A" w14:textId="4B0526E7" w:rsidR="00A8708A" w:rsidRPr="00B316F9" w:rsidRDefault="00BE75B5" w:rsidP="00A8708A">
            <w:pPr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A</w:t>
            </w:r>
            <w:r w:rsidR="00E30E97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dapted from the National Longitudinal Study of Adolescent Health</w:t>
            </w: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(Sieving et al., 2001)</w:t>
            </w:r>
            <w:r w:rsidR="00E30E97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 and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Ellickson et al. (2003)</w:t>
            </w:r>
          </w:p>
        </w:tc>
        <w:tc>
          <w:tcPr>
            <w:tcW w:w="5930" w:type="dxa"/>
          </w:tcPr>
          <w:p w14:paraId="0623012F" w14:textId="1BBE75E9" w:rsidR="00A8708A" w:rsidRPr="00B316F9" w:rsidRDefault="006E0191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Single item assessing the number of </w:t>
            </w:r>
            <w:r w:rsidR="00BE75B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times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680E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cannabis was used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10B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past three months. </w:t>
            </w:r>
            <w:r w:rsidR="00E9142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Participants reported </w:t>
            </w:r>
            <w:r w:rsidR="00BE75B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</w:t>
            </w:r>
            <w:r w:rsidR="00E9142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a 6-point Likert scale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 = none, 5 = 20 or more </w:t>
            </w:r>
            <w:r w:rsidR="00BE75B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times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A8708A" w:rsidRPr="00B316F9" w14:paraId="63D2AF84" w14:textId="07F11A34" w:rsidTr="0073193E">
        <w:tc>
          <w:tcPr>
            <w:tcW w:w="2498" w:type="dxa"/>
          </w:tcPr>
          <w:p w14:paraId="069A086D" w14:textId="265D7D5B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Goodness &amp; </w:t>
            </w:r>
            <w:proofErr w:type="spellStart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Palfai</w:t>
            </w:r>
            <w:proofErr w:type="spellEnd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(2020)</w:t>
            </w:r>
          </w:p>
        </w:tc>
        <w:tc>
          <w:tcPr>
            <w:tcW w:w="2632" w:type="dxa"/>
          </w:tcPr>
          <w:p w14:paraId="5E4201B5" w14:textId="735FB97A" w:rsidR="00A8708A" w:rsidRPr="00B316F9" w:rsidRDefault="00D33205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 of cannabis use (past 90 days)</w:t>
            </w:r>
          </w:p>
        </w:tc>
        <w:tc>
          <w:tcPr>
            <w:tcW w:w="3330" w:type="dxa"/>
          </w:tcPr>
          <w:p w14:paraId="25485ADE" w14:textId="5401BA0B" w:rsidR="00A8708A" w:rsidRPr="00B316F9" w:rsidRDefault="00D02A27" w:rsidP="00A8708A">
            <w:pPr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A</w:t>
            </w:r>
            <w:r w:rsidR="00562F80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dapted from Lee</w:t>
            </w:r>
            <w:r w:rsidR="00196E4A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 </w:t>
            </w:r>
            <w:r w:rsidR="00562F80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et al. (2013)</w:t>
            </w:r>
          </w:p>
        </w:tc>
        <w:tc>
          <w:tcPr>
            <w:tcW w:w="5930" w:type="dxa"/>
          </w:tcPr>
          <w:p w14:paraId="47870439" w14:textId="1CEB24B3" w:rsidR="00A8708A" w:rsidRPr="00B316F9" w:rsidRDefault="006610BB" w:rsidP="00A8708A">
            <w:pPr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Single item assessing the number of days cannabis was used in the past 90 days</w:t>
            </w:r>
            <w:r w:rsidR="00BA3E09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. The item was </w:t>
            </w: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adapted from </w:t>
            </w:r>
            <w:r w:rsidR="00D02A27" w:rsidRPr="00B316F9">
              <w:rPr>
                <w:rFonts w:ascii="Times New Roman" w:hAnsi="Times New Roman" w:cs="Times New Roman"/>
                <w:sz w:val="24"/>
                <w:szCs w:val="24"/>
              </w:rPr>
              <w:t>Lee et al. (2013)</w:t>
            </w:r>
            <w:r w:rsidR="00D02A27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 </w:t>
            </w: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as a modified </w:t>
            </w:r>
            <w:r w:rsidR="00BA3E09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TLFB</w:t>
            </w: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 measure.</w:t>
            </w:r>
            <w:r w:rsidR="00BA3E09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 Three</w:t>
            </w: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-month calendar</w:t>
            </w:r>
            <w:r w:rsidR="00BA3E09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s were provided to support recall accuracy</w:t>
            </w: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.</w:t>
            </w:r>
          </w:p>
        </w:tc>
      </w:tr>
      <w:tr w:rsidR="00A8708A" w:rsidRPr="00B316F9" w14:paraId="5920A47E" w14:textId="21B9D58D" w:rsidTr="0073193E">
        <w:tc>
          <w:tcPr>
            <w:tcW w:w="2498" w:type="dxa"/>
          </w:tcPr>
          <w:p w14:paraId="1300A565" w14:textId="4679C1AC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Laporte et al. (2017)</w:t>
            </w:r>
          </w:p>
        </w:tc>
        <w:tc>
          <w:tcPr>
            <w:tcW w:w="2632" w:type="dxa"/>
          </w:tcPr>
          <w:p w14:paraId="1AD5C5E5" w14:textId="5E19EEF6" w:rsidR="00A8708A" w:rsidRPr="00B316F9" w:rsidRDefault="00A6457C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joints consumed per month</w:t>
            </w:r>
          </w:p>
        </w:tc>
        <w:tc>
          <w:tcPr>
            <w:tcW w:w="3330" w:type="dxa"/>
          </w:tcPr>
          <w:p w14:paraId="1615B07F" w14:textId="3F6F3195" w:rsidR="00A8708A" w:rsidRPr="00B316F9" w:rsidRDefault="008012A4" w:rsidP="00A8708A">
            <w:pPr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Not reported</w:t>
            </w:r>
          </w:p>
        </w:tc>
        <w:tc>
          <w:tcPr>
            <w:tcW w:w="5930" w:type="dxa"/>
          </w:tcPr>
          <w:p w14:paraId="714249B4" w14:textId="24D3272E" w:rsidR="00A8708A" w:rsidRPr="00B316F9" w:rsidRDefault="008012A4" w:rsidP="00A8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A8708A" w:rsidRPr="00B316F9" w14:paraId="57428897" w14:textId="1712632C" w:rsidTr="0073193E">
        <w:tc>
          <w:tcPr>
            <w:tcW w:w="2498" w:type="dxa"/>
          </w:tcPr>
          <w:p w14:paraId="0D7CA8D3" w14:textId="6A8CBB1E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Mason et al. (2015)</w:t>
            </w:r>
          </w:p>
        </w:tc>
        <w:tc>
          <w:tcPr>
            <w:tcW w:w="2632" w:type="dxa"/>
          </w:tcPr>
          <w:p w14:paraId="02654D3F" w14:textId="01DE9A5A" w:rsidR="00A8708A" w:rsidRPr="00B316F9" w:rsidRDefault="008150F1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 of cannabis use (past month)</w:t>
            </w:r>
          </w:p>
        </w:tc>
        <w:tc>
          <w:tcPr>
            <w:tcW w:w="3330" w:type="dxa"/>
          </w:tcPr>
          <w:p w14:paraId="03510BE8" w14:textId="74F305E2" w:rsidR="00A8708A" w:rsidRPr="00B316F9" w:rsidRDefault="008012A4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Youth Risk Behavior </w:t>
            </w:r>
            <w:r w:rsidR="00727F16">
              <w:rPr>
                <w:rFonts w:ascii="Times New Roman" w:hAnsi="Times New Roman" w:cs="Times New Roman"/>
                <w:sz w:val="24"/>
                <w:szCs w:val="24"/>
              </w:rPr>
              <w:t xml:space="preserve">Surveillance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Survey </w:t>
            </w:r>
            <w:r w:rsidR="00D02A27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(Center</w:t>
            </w:r>
            <w:r w:rsidR="00E7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D02A27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Disease Control</w:t>
            </w:r>
            <w:r w:rsidR="00E72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Prevention</w:t>
            </w:r>
            <w:r w:rsidR="00D02A27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2008)</w:t>
            </w:r>
          </w:p>
        </w:tc>
        <w:tc>
          <w:tcPr>
            <w:tcW w:w="5930" w:type="dxa"/>
          </w:tcPr>
          <w:p w14:paraId="37734E4D" w14:textId="0122CBE0" w:rsidR="00A8708A" w:rsidRPr="00B316F9" w:rsidRDefault="00D02A27" w:rsidP="00A8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 item assessing the number of days cannabis was used in the past month. Participants reported days of cannabis use on an 8-point Likert scale (0 = 0 days, 7 = all 30 days).</w:t>
            </w:r>
          </w:p>
        </w:tc>
      </w:tr>
      <w:tr w:rsidR="00BA3E09" w:rsidRPr="00B316F9" w14:paraId="25A741FC" w14:textId="5D8FA61B" w:rsidTr="0073193E">
        <w:tc>
          <w:tcPr>
            <w:tcW w:w="2498" w:type="dxa"/>
          </w:tcPr>
          <w:p w14:paraId="72388466" w14:textId="1A164CAD" w:rsidR="00BA3E09" w:rsidRPr="00B316F9" w:rsidRDefault="00BA3E09" w:rsidP="00BA3E09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proofErr w:type="spellStart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Palfai</w:t>
            </w:r>
            <w:proofErr w:type="spellEnd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et al. (2014)</w:t>
            </w:r>
          </w:p>
        </w:tc>
        <w:tc>
          <w:tcPr>
            <w:tcW w:w="2632" w:type="dxa"/>
          </w:tcPr>
          <w:p w14:paraId="7D3C38E8" w14:textId="1DEB1822" w:rsidR="00BA3E09" w:rsidRPr="00B316F9" w:rsidRDefault="00BA3E09" w:rsidP="00BA3E09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 of cannabis use (past 90 days)</w:t>
            </w:r>
          </w:p>
        </w:tc>
        <w:tc>
          <w:tcPr>
            <w:tcW w:w="3330" w:type="dxa"/>
          </w:tcPr>
          <w:p w14:paraId="0A60263A" w14:textId="1CCF7155" w:rsidR="00BA3E09" w:rsidRPr="00B316F9" w:rsidRDefault="00D02A27" w:rsidP="00BA3E09">
            <w:pPr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Adapted </w:t>
            </w:r>
            <w:r w:rsidR="00BA3E09"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from Lee et al. (2013)</w:t>
            </w:r>
          </w:p>
        </w:tc>
        <w:tc>
          <w:tcPr>
            <w:tcW w:w="5930" w:type="dxa"/>
          </w:tcPr>
          <w:p w14:paraId="6AE4343F" w14:textId="67F840A3" w:rsidR="00BA3E09" w:rsidRPr="00B316F9" w:rsidRDefault="00BA3E09" w:rsidP="00BA3E09">
            <w:pPr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Single item assessing the number of days cannabis was used in the past 90 days. The item was adapted from Lee et al. (2013) as a modified TLFB measure. Three-month calendars were provided to support recall accuracy.</w:t>
            </w:r>
          </w:p>
        </w:tc>
      </w:tr>
      <w:tr w:rsidR="00563C3C" w:rsidRPr="00B316F9" w14:paraId="30183502" w14:textId="4FB537F1" w:rsidTr="0073193E">
        <w:tc>
          <w:tcPr>
            <w:tcW w:w="2498" w:type="dxa"/>
          </w:tcPr>
          <w:p w14:paraId="1C9B1BE4" w14:textId="5AA440A2" w:rsidR="00563C3C" w:rsidRPr="00B316F9" w:rsidRDefault="00563C3C" w:rsidP="00563C3C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Walsh et al. (2017)</w:t>
            </w:r>
          </w:p>
        </w:tc>
        <w:tc>
          <w:tcPr>
            <w:tcW w:w="2632" w:type="dxa"/>
          </w:tcPr>
          <w:p w14:paraId="0589CE47" w14:textId="0D94FA84" w:rsidR="00563C3C" w:rsidRPr="00B316F9" w:rsidRDefault="00563C3C" w:rsidP="00563C3C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Days of cannabis use (past 14 days)</w:t>
            </w:r>
          </w:p>
        </w:tc>
        <w:tc>
          <w:tcPr>
            <w:tcW w:w="3330" w:type="dxa"/>
          </w:tcPr>
          <w:p w14:paraId="12BB221C" w14:textId="11ED70A8" w:rsidR="00563C3C" w:rsidRPr="00B316F9" w:rsidRDefault="00563C3C" w:rsidP="00563C3C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>Not reported</w:t>
            </w:r>
          </w:p>
        </w:tc>
        <w:tc>
          <w:tcPr>
            <w:tcW w:w="5930" w:type="dxa"/>
          </w:tcPr>
          <w:p w14:paraId="762FF77B" w14:textId="04AD2F02" w:rsidR="00563C3C" w:rsidRPr="00B316F9" w:rsidRDefault="00563C3C" w:rsidP="00563C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A8708A" w:rsidRPr="00B316F9" w14:paraId="504498D3" w14:textId="29362F35" w:rsidTr="0073193E">
        <w:tc>
          <w:tcPr>
            <w:tcW w:w="2498" w:type="dxa"/>
          </w:tcPr>
          <w:p w14:paraId="2BB66758" w14:textId="28C835E8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Walton et al. (2013); Walton et al. (2014)</w:t>
            </w:r>
          </w:p>
        </w:tc>
        <w:tc>
          <w:tcPr>
            <w:tcW w:w="2632" w:type="dxa"/>
          </w:tcPr>
          <w:p w14:paraId="0FA757BD" w14:textId="1AF816FC" w:rsidR="00A8708A" w:rsidRPr="00B316F9" w:rsidRDefault="00EB469C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Days of cannabis use (past </w:t>
            </w:r>
            <w:r w:rsidR="00994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three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months)</w:t>
            </w:r>
          </w:p>
        </w:tc>
        <w:tc>
          <w:tcPr>
            <w:tcW w:w="3330" w:type="dxa"/>
          </w:tcPr>
          <w:p w14:paraId="21DDAD0D" w14:textId="3085229D" w:rsidR="00EB469C" w:rsidRPr="00B316F9" w:rsidRDefault="0043158C" w:rsidP="00A8708A">
            <w:pPr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Adapted from the National Longitudinal Study of Adolescent Health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(Sieving et al., 2001)</w:t>
            </w:r>
          </w:p>
        </w:tc>
        <w:tc>
          <w:tcPr>
            <w:tcW w:w="5930" w:type="dxa"/>
          </w:tcPr>
          <w:p w14:paraId="1EBDD21B" w14:textId="25F7C7EE" w:rsidR="00A8708A" w:rsidRPr="00B316F9" w:rsidRDefault="00051709" w:rsidP="00A8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 item assessing the number of days cannabis was used in the past three months. Participants reported days of cannabis use on a 7-point Likert scale (0 = never, 6 = every day or almost every day).</w:t>
            </w:r>
          </w:p>
        </w:tc>
      </w:tr>
      <w:tr w:rsidR="00A8708A" w:rsidRPr="00B316F9" w14:paraId="5A304467" w14:textId="73322514" w:rsidTr="0073193E">
        <w:tc>
          <w:tcPr>
            <w:tcW w:w="2498" w:type="dxa"/>
            <w:tcBorders>
              <w:bottom w:val="single" w:sz="4" w:space="0" w:color="auto"/>
            </w:tcBorders>
          </w:tcPr>
          <w:p w14:paraId="72A7ACF8" w14:textId="67F16A4D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Woolard et al. (2013)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25A38987" w14:textId="10900B06" w:rsidR="00A8708A" w:rsidRPr="00B316F9" w:rsidRDefault="00A8708A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Days </w:t>
            </w:r>
            <w:r w:rsidR="00CB243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tetrahydrocannabinol </w:t>
            </w:r>
            <w:r w:rsidR="000D701D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(THC)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 </w:t>
            </w:r>
            <w:r w:rsidR="00CB243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D701D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past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days</w:t>
            </w:r>
            <w:r w:rsidR="00CB243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DDFB505" w14:textId="5A3E3517" w:rsidR="00A8708A" w:rsidRPr="00B316F9" w:rsidRDefault="00CB243B" w:rsidP="00A8708A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Alcohol, Marijuana</w:t>
            </w:r>
            <w:r w:rsidR="0043158C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Drug Use </w:t>
            </w:r>
            <w:r w:rsidRPr="00B1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 (Nirenberg, &amp; Lee, 2003)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65C57736" w14:textId="6EF2BED5" w:rsidR="00A8708A" w:rsidRPr="00B316F9" w:rsidRDefault="00E72C0C" w:rsidP="00A870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 item</w:t>
            </w:r>
            <w:r w:rsidR="000D701D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170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measuring</w:t>
            </w:r>
            <w:r w:rsidR="000D701D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days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cannabis (i.e., THC)</w:t>
            </w:r>
            <w:r w:rsidR="0005170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</w:t>
            </w:r>
            <w:r w:rsidR="000D701D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was the outcome of interest</w:t>
            </w:r>
            <w:r w:rsidR="009128EE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158C" w:rsidRPr="00B316F9" w14:paraId="2CA9F0D1" w14:textId="77777777" w:rsidTr="00994EE9">
        <w:tc>
          <w:tcPr>
            <w:tcW w:w="14390" w:type="dxa"/>
            <w:gridSpan w:val="4"/>
            <w:tcBorders>
              <w:top w:val="single" w:sz="4" w:space="0" w:color="auto"/>
            </w:tcBorders>
          </w:tcPr>
          <w:p w14:paraId="51650CD4" w14:textId="159E4BEA" w:rsidR="0043158C" w:rsidRPr="00B316F9" w:rsidRDefault="0043158C" w:rsidP="00A8708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Cannabis Use</w:t>
            </w:r>
          </w:p>
        </w:tc>
      </w:tr>
      <w:tr w:rsidR="0043158C" w:rsidRPr="00B316F9" w14:paraId="53ABD1E7" w14:textId="77777777" w:rsidTr="0073193E">
        <w:trPr>
          <w:trHeight w:val="139"/>
        </w:trPr>
        <w:tc>
          <w:tcPr>
            <w:tcW w:w="2498" w:type="dxa"/>
            <w:tcBorders>
              <w:bottom w:val="single" w:sz="4" w:space="0" w:color="auto"/>
            </w:tcBorders>
          </w:tcPr>
          <w:p w14:paraId="4145004A" w14:textId="5D777091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Study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0F28E2F0" w14:textId="4A2643EA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E96D2AD" w14:textId="39084EA9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Instrument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6B1D073E" w14:textId="0EBE7D64" w:rsidR="0043158C" w:rsidRPr="00B316F9" w:rsidRDefault="0043158C" w:rsidP="00431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Description</w:t>
            </w:r>
          </w:p>
        </w:tc>
      </w:tr>
      <w:tr w:rsidR="003621EE" w:rsidRPr="00B316F9" w14:paraId="567D6182" w14:textId="77777777" w:rsidTr="0073193E">
        <w:tc>
          <w:tcPr>
            <w:tcW w:w="2498" w:type="dxa"/>
            <w:tcBorders>
              <w:top w:val="single" w:sz="4" w:space="0" w:color="auto"/>
            </w:tcBorders>
          </w:tcPr>
          <w:p w14:paraId="182B2427" w14:textId="54B76F98" w:rsidR="003621EE" w:rsidRPr="00B316F9" w:rsidRDefault="003621EE" w:rsidP="00362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Saitz et al. (2014)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4A16BD17" w14:textId="36B9DE72" w:rsidR="003621EE" w:rsidRPr="00B316F9" w:rsidRDefault="00215425" w:rsidP="00C3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hair test</w:t>
            </w:r>
            <w:r w:rsidR="00F973A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indicating cannabis use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6560FBC9" w14:textId="553B00AB" w:rsidR="003621EE" w:rsidRPr="00B316F9" w:rsidRDefault="00215425" w:rsidP="00362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Detection of carboxy-THC</w:t>
            </w:r>
            <w:r w:rsidR="00F973A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hair sample</w:t>
            </w:r>
          </w:p>
        </w:tc>
        <w:tc>
          <w:tcPr>
            <w:tcW w:w="5930" w:type="dxa"/>
            <w:tcBorders>
              <w:top w:val="single" w:sz="4" w:space="0" w:color="auto"/>
            </w:tcBorders>
          </w:tcPr>
          <w:p w14:paraId="54A84574" w14:textId="443CAB6A" w:rsidR="003621EE" w:rsidRPr="00B316F9" w:rsidRDefault="00215425" w:rsidP="003621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Participants were provided a hair sample corresponding to a 90-day timeframe</w:t>
            </w:r>
            <w:r w:rsidR="00C3385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test</w:t>
            </w:r>
            <w:r w:rsidR="00B70354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r w:rsidR="00C3385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using enzyme-linked immunosorbent assay and gas chromatography–mass spectrometry.</w:t>
            </w:r>
          </w:p>
        </w:tc>
      </w:tr>
      <w:tr w:rsidR="00CA4007" w:rsidRPr="00B316F9" w14:paraId="0C923764" w14:textId="77777777" w:rsidTr="0073193E">
        <w:tc>
          <w:tcPr>
            <w:tcW w:w="2498" w:type="dxa"/>
          </w:tcPr>
          <w:p w14:paraId="7EF229BD" w14:textId="513859F5" w:rsidR="00CA4007" w:rsidRPr="00B316F9" w:rsidRDefault="00CA4007" w:rsidP="00CA4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Merchant et al. (2015)</w:t>
            </w:r>
          </w:p>
        </w:tc>
        <w:tc>
          <w:tcPr>
            <w:tcW w:w="2632" w:type="dxa"/>
          </w:tcPr>
          <w:p w14:paraId="2B382715" w14:textId="142451C2" w:rsidR="00CA4007" w:rsidRPr="00B316F9" w:rsidRDefault="00B70354" w:rsidP="00B703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Any cannabis </w:t>
            </w:r>
            <w:proofErr w:type="gramStart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</w:t>
            </w:r>
            <w:proofErr w:type="gramEnd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misuse (</w:t>
            </w:r>
            <w:r w:rsidR="00E07CA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past </w:t>
            </w:r>
            <w:r w:rsidR="007E7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three</w:t>
            </w:r>
            <w:r w:rsidR="00E07CA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months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24400801" w14:textId="04EBCC0A" w:rsidR="00CA4007" w:rsidRPr="00B316F9" w:rsidRDefault="00B70354" w:rsidP="00C33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Alcohol, Smoking and Substance Involvement Screening Test (</w:t>
            </w:r>
            <w:proofErr w:type="gramStart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ASSIST;</w:t>
            </w:r>
            <w:proofErr w:type="gramEnd"/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WHO ASSIST Working Group, 2002)</w:t>
            </w:r>
          </w:p>
        </w:tc>
        <w:tc>
          <w:tcPr>
            <w:tcW w:w="5930" w:type="dxa"/>
          </w:tcPr>
          <w:p w14:paraId="477FCAC1" w14:textId="6F1A1300" w:rsidR="00CA4007" w:rsidRPr="00B316F9" w:rsidRDefault="00E07CAA" w:rsidP="00CA4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Dichotomized measure derived from </w:t>
            </w:r>
            <w:r w:rsid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ASSIST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item assessing how often cannabis was </w:t>
            </w:r>
            <w:r w:rsidR="00AF290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non-medically used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the past three months.</w:t>
            </w:r>
            <w:r w:rsid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16F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cannabis-specific items have demonstrated strong reliability and validity </w:t>
            </w:r>
            <w:r w:rsidR="00B316F9" w:rsidRPr="00B316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316F9" w:rsidRPr="00B316F9">
              <w:rPr>
                <w:rFonts w:ascii="Times New Roman" w:hAnsi="Times New Roman" w:cs="Times New Roman"/>
                <w:sz w:val="24"/>
                <w:szCs w:val="24"/>
              </w:rPr>
              <w:t>Khazaal</w:t>
            </w:r>
            <w:proofErr w:type="spellEnd"/>
            <w:r w:rsidR="00B316F9" w:rsidRPr="00B316F9">
              <w:rPr>
                <w:rFonts w:ascii="Times New Roman" w:hAnsi="Times New Roman" w:cs="Times New Roman"/>
                <w:sz w:val="24"/>
                <w:szCs w:val="24"/>
              </w:rPr>
              <w:t xml:space="preserve"> et al., 2015; WHO ASSIST Working Group, 2002)</w:t>
            </w:r>
            <w:r w:rsidR="00B316F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4007" w:rsidRPr="00B316F9" w14:paraId="075BC6A5" w14:textId="77777777" w:rsidTr="0073193E">
        <w:tc>
          <w:tcPr>
            <w:tcW w:w="2498" w:type="dxa"/>
          </w:tcPr>
          <w:p w14:paraId="3429B85D" w14:textId="21CB80E4" w:rsidR="00CA4007" w:rsidRPr="00B316F9" w:rsidRDefault="00CA4007" w:rsidP="00215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Gryczynski</w:t>
            </w:r>
            <w:proofErr w:type="spellEnd"/>
            <w:r w:rsidRPr="00B316F9">
              <w:rPr>
                <w:rFonts w:ascii="Times New Roman" w:hAnsi="Times New Roman" w:cs="Times New Roman"/>
                <w:sz w:val="24"/>
                <w:szCs w:val="24"/>
              </w:rPr>
              <w:t xml:space="preserve"> et al. (2016)</w:t>
            </w:r>
          </w:p>
        </w:tc>
        <w:tc>
          <w:tcPr>
            <w:tcW w:w="2632" w:type="dxa"/>
          </w:tcPr>
          <w:p w14:paraId="3F92A2AC" w14:textId="32A4D593" w:rsidR="00CA4007" w:rsidRPr="00B316F9" w:rsidRDefault="00F973A3" w:rsidP="00215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 hair test indicating cannabis use</w:t>
            </w:r>
          </w:p>
        </w:tc>
        <w:tc>
          <w:tcPr>
            <w:tcW w:w="3330" w:type="dxa"/>
          </w:tcPr>
          <w:p w14:paraId="777786FC" w14:textId="0A47E2A0" w:rsidR="00CA4007" w:rsidRPr="00B316F9" w:rsidRDefault="00E85377" w:rsidP="00215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Detection of carboxy-THC</w:t>
            </w:r>
            <w:r w:rsidR="00F973A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hair sample</w:t>
            </w:r>
          </w:p>
        </w:tc>
        <w:tc>
          <w:tcPr>
            <w:tcW w:w="5930" w:type="dxa"/>
          </w:tcPr>
          <w:p w14:paraId="3F825DF8" w14:textId="3CBAA111" w:rsidR="00CA4007" w:rsidRPr="00B316F9" w:rsidRDefault="00E85377" w:rsidP="00215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Participants provide</w:t>
            </w:r>
            <w:r w:rsidR="0021542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1.5” hair sample (</w:t>
            </w:r>
            <w:r w:rsidR="0021542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corresponding to a 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3-month timeframe). The sample was tested for carboxy-THC</w:t>
            </w:r>
            <w:r w:rsidR="0021542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an independent laboratory.</w:t>
            </w:r>
          </w:p>
        </w:tc>
      </w:tr>
      <w:tr w:rsidR="00CA4007" w:rsidRPr="00B316F9" w14:paraId="3C053571" w14:textId="77777777" w:rsidTr="0073193E">
        <w:tc>
          <w:tcPr>
            <w:tcW w:w="2498" w:type="dxa"/>
          </w:tcPr>
          <w:p w14:paraId="4FBC3E20" w14:textId="56BAF326" w:rsidR="00CA4007" w:rsidRPr="00B316F9" w:rsidRDefault="00CA4007" w:rsidP="00CA4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Knight et al. (2019)</w:t>
            </w:r>
          </w:p>
        </w:tc>
        <w:tc>
          <w:tcPr>
            <w:tcW w:w="2632" w:type="dxa"/>
          </w:tcPr>
          <w:p w14:paraId="03A82E9D" w14:textId="3523B857" w:rsidR="00CA4007" w:rsidRPr="00B316F9" w:rsidRDefault="00CA4007" w:rsidP="00F9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Any </w:t>
            </w:r>
            <w:r w:rsidR="00B70354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annabis </w:t>
            </w:r>
            <w:r w:rsidR="00B70354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r w:rsidR="007961BD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973A3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 12 months</w:t>
            </w:r>
            <w:r w:rsidR="007961BD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66110078" w14:textId="56EAAE7B" w:rsidR="00CA4007" w:rsidRPr="00B316F9" w:rsidRDefault="007961BD" w:rsidP="00F973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TLFB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(Sobell &amp; Sobell, 1992)</w:t>
            </w:r>
          </w:p>
        </w:tc>
        <w:tc>
          <w:tcPr>
            <w:tcW w:w="5930" w:type="dxa"/>
          </w:tcPr>
          <w:p w14:paraId="354BE7B7" w14:textId="41ADBB60" w:rsidR="00CA4007" w:rsidRPr="00B316F9" w:rsidRDefault="00F973A3" w:rsidP="00CA4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Dichotomized measure derived from TLFB measure of cannabis use over past 12 months. The TLFB has demonstrated strong reliability and validity in measuring cannabis use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(Robinson et al., 2014)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including high agreement with biological measures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(Hjorthøj et al., 2012)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E4306" w:rsidRPr="00B316F9" w14:paraId="242F07DD" w14:textId="77777777" w:rsidTr="0073193E">
        <w:tc>
          <w:tcPr>
            <w:tcW w:w="2498" w:type="dxa"/>
            <w:tcBorders>
              <w:bottom w:val="single" w:sz="4" w:space="0" w:color="auto"/>
            </w:tcBorders>
          </w:tcPr>
          <w:p w14:paraId="241735C6" w14:textId="00FCEFCB" w:rsidR="004E4306" w:rsidRPr="00B316F9" w:rsidRDefault="004E4306" w:rsidP="004E4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Walton et al. (2013); Walton et al. (2014)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2976C1C0" w14:textId="2ACE4730" w:rsidR="004E4306" w:rsidRPr="00B316F9" w:rsidRDefault="007961BD" w:rsidP="004E4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 c</w:t>
            </w:r>
            <w:r w:rsidR="004E4306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annabis use (past </w:t>
            </w:r>
            <w:r w:rsidR="007E7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three</w:t>
            </w:r>
            <w:r w:rsidR="004E4306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months)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BF3ADE7" w14:textId="51A0DD0A" w:rsidR="004E4306" w:rsidRPr="00B316F9" w:rsidRDefault="004E4306" w:rsidP="004E4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color w:val="131413"/>
                <w:sz w:val="24"/>
                <w:szCs w:val="24"/>
              </w:rPr>
              <w:t xml:space="preserve">Adapted from the National Longitudinal Study of Adolescent Health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(Sieving et al., 2001)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5E6357E0" w14:textId="2403F044" w:rsidR="004E4306" w:rsidRPr="00B316F9" w:rsidRDefault="004E4306" w:rsidP="004E4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Dichotomized measure derived from item assessing cannabis use frequency</w:t>
            </w:r>
            <w:r w:rsidR="00E07CAA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73A3" w:rsidRPr="00B316F9" w14:paraId="61FFAD92" w14:textId="77777777" w:rsidTr="00994EE9">
        <w:tc>
          <w:tcPr>
            <w:tcW w:w="14390" w:type="dxa"/>
            <w:gridSpan w:val="4"/>
            <w:tcBorders>
              <w:top w:val="single" w:sz="4" w:space="0" w:color="auto"/>
            </w:tcBorders>
          </w:tcPr>
          <w:p w14:paraId="791CD40B" w14:textId="452BC5DC" w:rsidR="00F973A3" w:rsidRPr="00B316F9" w:rsidRDefault="00727F16" w:rsidP="004E43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Cannabis Use </w:t>
            </w:r>
            <w:r w:rsidR="00F973A3" w:rsidRPr="00B316F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Severity</w:t>
            </w:r>
          </w:p>
        </w:tc>
      </w:tr>
      <w:tr w:rsidR="0030070F" w:rsidRPr="00B316F9" w14:paraId="42232C2E" w14:textId="77777777" w:rsidTr="0073193E">
        <w:tc>
          <w:tcPr>
            <w:tcW w:w="2498" w:type="dxa"/>
            <w:tcBorders>
              <w:bottom w:val="single" w:sz="4" w:space="0" w:color="auto"/>
            </w:tcBorders>
          </w:tcPr>
          <w:p w14:paraId="4B94B359" w14:textId="2D85D187" w:rsidR="0030070F" w:rsidRPr="00B316F9" w:rsidRDefault="0030070F" w:rsidP="0030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Study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22B12A23" w14:textId="01C3F30D" w:rsidR="0030070F" w:rsidRPr="00B316F9" w:rsidRDefault="0030070F" w:rsidP="00300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1AA3B2A" w14:textId="554FE661" w:rsidR="0030070F" w:rsidRPr="00B316F9" w:rsidRDefault="0030070F" w:rsidP="00300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Instrument</w:t>
            </w:r>
          </w:p>
        </w:tc>
        <w:tc>
          <w:tcPr>
            <w:tcW w:w="5930" w:type="dxa"/>
            <w:tcBorders>
              <w:bottom w:val="single" w:sz="4" w:space="0" w:color="auto"/>
            </w:tcBorders>
          </w:tcPr>
          <w:p w14:paraId="7AAC6171" w14:textId="7545FAF8" w:rsidR="0030070F" w:rsidRPr="00B316F9" w:rsidRDefault="0030070F" w:rsidP="00300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eastAsia="Times New Roman" w:hAnsi="Times New Roman" w:cs="Times New Roman"/>
                <w:b/>
                <w:bCs/>
                <w:color w:val="131413"/>
                <w:sz w:val="24"/>
                <w:szCs w:val="24"/>
              </w:rPr>
              <w:t>Description</w:t>
            </w:r>
          </w:p>
        </w:tc>
      </w:tr>
      <w:tr w:rsidR="009B1872" w:rsidRPr="00B316F9" w14:paraId="7416A8F8" w14:textId="77777777" w:rsidTr="0073193E">
        <w:trPr>
          <w:trHeight w:val="2383"/>
        </w:trPr>
        <w:tc>
          <w:tcPr>
            <w:tcW w:w="2498" w:type="dxa"/>
            <w:tcBorders>
              <w:top w:val="single" w:sz="4" w:space="0" w:color="auto"/>
            </w:tcBorders>
          </w:tcPr>
          <w:p w14:paraId="544799C4" w14:textId="77777777" w:rsidR="009B1872" w:rsidRPr="00B316F9" w:rsidRDefault="009B1872" w:rsidP="00300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Gryczynski</w:t>
            </w:r>
            <w:proofErr w:type="spellEnd"/>
            <w:r w:rsidRPr="00B316F9">
              <w:rPr>
                <w:rFonts w:ascii="Times New Roman" w:hAnsi="Times New Roman" w:cs="Times New Roman"/>
                <w:sz w:val="24"/>
                <w:szCs w:val="24"/>
              </w:rPr>
              <w:t xml:space="preserve"> et al. (2016)</w:t>
            </w:r>
          </w:p>
          <w:p w14:paraId="59E2CC05" w14:textId="77777777" w:rsidR="009B1872" w:rsidRPr="00B316F9" w:rsidRDefault="009B1872" w:rsidP="00211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Humeniuk et al. (2012)</w:t>
            </w:r>
          </w:p>
          <w:p w14:paraId="6CB9B128" w14:textId="77777777" w:rsidR="009B1872" w:rsidRPr="00B316F9" w:rsidRDefault="009B1872" w:rsidP="00211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Merchant et al. (2015)</w:t>
            </w:r>
          </w:p>
          <w:p w14:paraId="33ADBD03" w14:textId="2ACE4777" w:rsidR="009B1872" w:rsidRPr="00B316F9" w:rsidRDefault="009B1872" w:rsidP="00211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Mertens et al. (2014)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2B38DE2E" w14:textId="6E61B213" w:rsidR="009B1872" w:rsidRPr="00B316F9" w:rsidRDefault="009B1872" w:rsidP="00211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Cannabis </w:t>
            </w:r>
            <w:r w:rsidR="00D9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r w:rsidR="00D9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the </w:t>
            </w:r>
            <w:r w:rsidR="00D91428" w:rsidRPr="00D9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Alcohol, Smoking and Substance Involvement Screening Test </w:t>
            </w:r>
            <w:r w:rsidR="00D9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(ASSIST)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FB04621" w14:textId="55F42AC3" w:rsidR="009B1872" w:rsidRPr="00B316F9" w:rsidRDefault="009B1872" w:rsidP="002115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ASSIST </w:t>
            </w:r>
            <w:r w:rsidRPr="00B316F9">
              <w:rPr>
                <w:rFonts w:ascii="Times New Roman" w:hAnsi="Times New Roman" w:cs="Times New Roman"/>
                <w:sz w:val="24"/>
                <w:szCs w:val="24"/>
              </w:rPr>
              <w:t>(WHO ASSIST Working Group, 2002)</w:t>
            </w:r>
          </w:p>
        </w:tc>
        <w:tc>
          <w:tcPr>
            <w:tcW w:w="5930" w:type="dxa"/>
            <w:tcBorders>
              <w:top w:val="single" w:sz="4" w:space="0" w:color="auto"/>
            </w:tcBorders>
          </w:tcPr>
          <w:p w14:paraId="687F3B66" w14:textId="7C53FC95" w:rsidR="009B1872" w:rsidRPr="00B316F9" w:rsidRDefault="009B1872" w:rsidP="003007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ASSIST is a commonly used instrument for measuring substance use severity</w:t>
            </w:r>
            <w:r w:rsidR="0065683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It includes </w:t>
            </w:r>
            <w:r w:rsidR="00AF290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seven cannabis-specific items</w:t>
            </w:r>
            <w:r w:rsidR="0065683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(1) </w:t>
            </w:r>
            <w:r w:rsidR="00AF290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lifetime </w:t>
            </w:r>
            <w:r w:rsidR="00C9297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non-medical </w:t>
            </w:r>
            <w:r w:rsidR="00AF290B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  <w:r w:rsidR="00C9297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nnabis use</w:t>
            </w:r>
            <w:r w:rsidR="0065683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(2-7) if any use was reported, participants are asked past</w:t>
            </w:r>
            <w:r w:rsidR="00C9297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3-month frequency of use, urgency of use, and related consequences as well as</w:t>
            </w:r>
            <w:r w:rsidR="0065683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any</w:t>
            </w:r>
            <w:r w:rsidR="00C9297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past attempts to control use and </w:t>
            </w:r>
            <w:r w:rsidR="009F718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concerns </w:t>
            </w:r>
            <w:r w:rsidR="0065683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</w:t>
            </w:r>
            <w:r w:rsidR="009F718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use. </w:t>
            </w:r>
            <w:r w:rsidR="0065683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latter six</w:t>
            </w:r>
            <w:r w:rsidR="009F718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items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718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are </w:t>
            </w:r>
            <w:proofErr w:type="gramStart"/>
            <w:r w:rsidR="009F718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summed</w:t>
            </w:r>
            <w:proofErr w:type="gramEnd"/>
            <w:r w:rsidR="009F718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create a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total score, with cutoffs indicating low (0</w:t>
            </w:r>
            <w:r w:rsidR="00B316F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3), moderate (4</w:t>
            </w:r>
            <w:r w:rsidR="00B316F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26), and high (27+) levels</w:t>
            </w:r>
            <w:r w:rsidR="009F7180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use.</w:t>
            </w:r>
            <w:r w:rsidR="00656835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646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cannabis-specific items have demonstrated strong reliability and validity </w:t>
            </w:r>
            <w:r w:rsidR="00186469" w:rsidRPr="00B316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86469" w:rsidRPr="00B316F9">
              <w:rPr>
                <w:rFonts w:ascii="Times New Roman" w:hAnsi="Times New Roman" w:cs="Times New Roman"/>
                <w:sz w:val="24"/>
                <w:szCs w:val="24"/>
              </w:rPr>
              <w:t>Khazaal</w:t>
            </w:r>
            <w:proofErr w:type="spellEnd"/>
            <w:r w:rsidR="00186469" w:rsidRPr="00B316F9">
              <w:rPr>
                <w:rFonts w:ascii="Times New Roman" w:hAnsi="Times New Roman" w:cs="Times New Roman"/>
                <w:sz w:val="24"/>
                <w:szCs w:val="24"/>
              </w:rPr>
              <w:t xml:space="preserve"> et al., 2015; WHO ASSIST Working Group, 2002)</w:t>
            </w:r>
            <w:r w:rsidR="0018646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The full instrument and scoring instruction are reported in </w:t>
            </w:r>
            <w:r w:rsidR="00B316F9" w:rsidRPr="00B316F9">
              <w:rPr>
                <w:rFonts w:ascii="Times New Roman" w:hAnsi="Times New Roman" w:cs="Times New Roman"/>
                <w:sz w:val="24"/>
                <w:szCs w:val="24"/>
              </w:rPr>
              <w:t>Humeniuk et al. (2010)</w:t>
            </w:r>
            <w:r w:rsidR="00B316F9" w:rsidRPr="00B3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37346E4" w14:textId="77777777" w:rsidR="00BA4FEB" w:rsidRDefault="00BA4FEB" w:rsidP="00BA4FEB">
      <w:pPr>
        <w:rPr>
          <w:rFonts w:ascii="Times New Roman" w:eastAsia="Times New Roman" w:hAnsi="Times New Roman" w:cs="Times New Roman"/>
          <w:b/>
          <w:bCs/>
          <w:color w:val="131413"/>
        </w:rPr>
      </w:pPr>
    </w:p>
    <w:p w14:paraId="2CA5E3E8" w14:textId="7D98AE74" w:rsidR="00B12236" w:rsidRPr="00D32B82" w:rsidRDefault="00B12236" w:rsidP="00B12236">
      <w:pPr>
        <w:pStyle w:val="Bibliography"/>
        <w:jc w:val="center"/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</w:pPr>
      <w:r w:rsidRPr="00D32B82">
        <w:rPr>
          <w:rFonts w:ascii="Times New Roman" w:eastAsia="Times New Roman" w:hAnsi="Times New Roman" w:cs="Times New Roman"/>
          <w:b/>
          <w:bCs/>
          <w:color w:val="131413"/>
          <w:sz w:val="24"/>
          <w:szCs w:val="24"/>
        </w:rPr>
        <w:t>References</w:t>
      </w:r>
    </w:p>
    <w:p w14:paraId="2F245F47" w14:textId="77777777" w:rsidR="00727F16" w:rsidRDefault="00727F16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</w:p>
    <w:p w14:paraId="2B01BA26" w14:textId="0497E614" w:rsidR="00727F16" w:rsidRDefault="00727F16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727F16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9A1EEF">
        <w:rPr>
          <w:rFonts w:ascii="Times New Roman" w:hAnsi="Times New Roman" w:cs="Times New Roman"/>
          <w:sz w:val="24"/>
          <w:szCs w:val="24"/>
        </w:rPr>
        <w:t>.</w:t>
      </w:r>
      <w:r w:rsidRPr="00727F16">
        <w:rPr>
          <w:rFonts w:ascii="Times New Roman" w:hAnsi="Times New Roman" w:cs="Times New Roman"/>
          <w:sz w:val="24"/>
          <w:szCs w:val="24"/>
        </w:rPr>
        <w:t xml:space="preserve"> (2008). 2007 Youth Risk Behavior </w:t>
      </w:r>
      <w:r>
        <w:rPr>
          <w:rFonts w:ascii="Times New Roman" w:hAnsi="Times New Roman" w:cs="Times New Roman"/>
          <w:sz w:val="24"/>
          <w:szCs w:val="24"/>
        </w:rPr>
        <w:t xml:space="preserve">Surveillance </w:t>
      </w:r>
      <w:r w:rsidRPr="00727F16">
        <w:rPr>
          <w:rFonts w:ascii="Times New Roman" w:hAnsi="Times New Roman" w:cs="Times New Roman"/>
          <w:sz w:val="24"/>
          <w:szCs w:val="24"/>
        </w:rPr>
        <w:t>Survey. www.cdc.gov/yrbss</w:t>
      </w:r>
      <w:r w:rsidR="009A1E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FEF98" w14:textId="2167ED2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lastRenderedPageBreak/>
        <w:t>Ellickson, P. L., McCaffrey, D. F., Ghosh-</w:t>
      </w:r>
      <w:proofErr w:type="spellStart"/>
      <w:r w:rsidRPr="00D32B82">
        <w:rPr>
          <w:rFonts w:ascii="Times New Roman" w:hAnsi="Times New Roman" w:cs="Times New Roman"/>
          <w:sz w:val="24"/>
          <w:szCs w:val="24"/>
        </w:rPr>
        <w:t>Dastidar</w:t>
      </w:r>
      <w:proofErr w:type="spellEnd"/>
      <w:r w:rsidRPr="00D32B82">
        <w:rPr>
          <w:rFonts w:ascii="Times New Roman" w:hAnsi="Times New Roman" w:cs="Times New Roman"/>
          <w:sz w:val="24"/>
          <w:szCs w:val="24"/>
        </w:rPr>
        <w:t xml:space="preserve">, B., &amp; Longshore, D. L. (2003). New inroads in preventing adolescent drug use: Results from a large-scale trial of Project ALERT in middle schools.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American Journal of Public Health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93</w:t>
      </w:r>
      <w:r w:rsidRPr="00D32B82">
        <w:rPr>
          <w:rFonts w:ascii="Times New Roman" w:hAnsi="Times New Roman" w:cs="Times New Roman"/>
          <w:sz w:val="24"/>
          <w:szCs w:val="24"/>
        </w:rPr>
        <w:t>(11), 1830–1836. https://doi.org/10.2105/AJPH.93.11.1830</w:t>
      </w:r>
    </w:p>
    <w:p w14:paraId="3F17842B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t xml:space="preserve">Hjorthøj, C. R., Hjorthøj, A. R., &amp; Nordentoft, M. (2012). Validity of Timeline Follow-back for self-reported use of cannabis and other illicit substances—Systematic review and meta-analysis.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Addictive Behaviors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D32B82">
        <w:rPr>
          <w:rFonts w:ascii="Times New Roman" w:hAnsi="Times New Roman" w:cs="Times New Roman"/>
          <w:sz w:val="24"/>
          <w:szCs w:val="24"/>
        </w:rPr>
        <w:t>(3), 225–233. https://doi.org/10.1016/j.addbeh.2011.11.025</w:t>
      </w:r>
    </w:p>
    <w:p w14:paraId="04363952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t xml:space="preserve">Humeniuk, R., Henry-Edwards, S., Ali, R., Poznyak, V., Monteiro, M. G., &amp; World Health Organization. (2010).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The Alcohol, Smoking and Substance Involvement Screening Test (ASSIST): Manual for use in primary care</w:t>
      </w:r>
      <w:r w:rsidRPr="00D32B82">
        <w:rPr>
          <w:rFonts w:ascii="Times New Roman" w:hAnsi="Times New Roman" w:cs="Times New Roman"/>
          <w:sz w:val="24"/>
          <w:szCs w:val="24"/>
        </w:rPr>
        <w:t>. World Health Organization. https://iris.who.int/handle/10665/44320</w:t>
      </w:r>
    </w:p>
    <w:p w14:paraId="2F41AE25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proofErr w:type="spellStart"/>
      <w:r w:rsidRPr="00D32B82">
        <w:rPr>
          <w:rFonts w:ascii="Times New Roman" w:hAnsi="Times New Roman" w:cs="Times New Roman"/>
          <w:sz w:val="24"/>
          <w:szCs w:val="24"/>
        </w:rPr>
        <w:t>Khazaal</w:t>
      </w:r>
      <w:proofErr w:type="spellEnd"/>
      <w:r w:rsidRPr="00D32B82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D32B82">
        <w:rPr>
          <w:rFonts w:ascii="Times New Roman" w:hAnsi="Times New Roman" w:cs="Times New Roman"/>
          <w:sz w:val="24"/>
          <w:szCs w:val="24"/>
        </w:rPr>
        <w:t>Chatton</w:t>
      </w:r>
      <w:proofErr w:type="spellEnd"/>
      <w:r w:rsidRPr="00D32B82">
        <w:rPr>
          <w:rFonts w:ascii="Times New Roman" w:hAnsi="Times New Roman" w:cs="Times New Roman"/>
          <w:sz w:val="24"/>
          <w:szCs w:val="24"/>
        </w:rPr>
        <w:t xml:space="preserve">, A., Monney, G., </w:t>
      </w:r>
      <w:proofErr w:type="spellStart"/>
      <w:r w:rsidRPr="00D32B82">
        <w:rPr>
          <w:rFonts w:ascii="Times New Roman" w:hAnsi="Times New Roman" w:cs="Times New Roman"/>
          <w:sz w:val="24"/>
          <w:szCs w:val="24"/>
        </w:rPr>
        <w:t>Nallet</w:t>
      </w:r>
      <w:proofErr w:type="spellEnd"/>
      <w:r w:rsidRPr="00D32B82">
        <w:rPr>
          <w:rFonts w:ascii="Times New Roman" w:hAnsi="Times New Roman" w:cs="Times New Roman"/>
          <w:sz w:val="24"/>
          <w:szCs w:val="24"/>
        </w:rPr>
        <w:t xml:space="preserve">, A., Khan, R., </w:t>
      </w:r>
      <w:proofErr w:type="spellStart"/>
      <w:r w:rsidRPr="00D32B82">
        <w:rPr>
          <w:rFonts w:ascii="Times New Roman" w:hAnsi="Times New Roman" w:cs="Times New Roman"/>
          <w:sz w:val="24"/>
          <w:szCs w:val="24"/>
        </w:rPr>
        <w:t>Zullino</w:t>
      </w:r>
      <w:proofErr w:type="spellEnd"/>
      <w:r w:rsidRPr="00D32B82">
        <w:rPr>
          <w:rFonts w:ascii="Times New Roman" w:hAnsi="Times New Roman" w:cs="Times New Roman"/>
          <w:sz w:val="24"/>
          <w:szCs w:val="24"/>
        </w:rPr>
        <w:t xml:space="preserve">, D., &amp; Etter, J.-F. (2015). Internal consistency and measurement equivalence of the cannabis screening questions on the paper-and-pencil face-to-face ASSIST versus the online instrument.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Substance Abuse Treatment, Prevention, and Policy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32B82">
        <w:rPr>
          <w:rFonts w:ascii="Times New Roman" w:hAnsi="Times New Roman" w:cs="Times New Roman"/>
          <w:sz w:val="24"/>
          <w:szCs w:val="24"/>
        </w:rPr>
        <w:t>(1), 8. https://doi.org/10.1186/s13011-015-0002-9</w:t>
      </w:r>
    </w:p>
    <w:p w14:paraId="05C2937E" w14:textId="50A0DEBE" w:rsid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t xml:space="preserve">Lee, C. M., Kilmer, J. R., Neighbors, C., Atkins, D. C., Zheng, C., Walker, D. D., &amp; Larimer, M. E. (2013). Indicated prevention for college student marijuana use: A randomized controlled trial.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Journal of Consulting and Clinical Psychology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D32B82">
        <w:rPr>
          <w:rFonts w:ascii="Times New Roman" w:hAnsi="Times New Roman" w:cs="Times New Roman"/>
          <w:sz w:val="24"/>
          <w:szCs w:val="24"/>
        </w:rPr>
        <w:t xml:space="preserve">(4), 702–709. </w:t>
      </w:r>
      <w:r w:rsidR="00E72C0C" w:rsidRPr="009A1EEF">
        <w:rPr>
          <w:rFonts w:ascii="Times New Roman" w:hAnsi="Times New Roman" w:cs="Times New Roman"/>
          <w:sz w:val="24"/>
          <w:szCs w:val="24"/>
        </w:rPr>
        <w:t>https://doi.org/10.1037/a0033285</w:t>
      </w:r>
    </w:p>
    <w:p w14:paraId="2BB3667F" w14:textId="2FE4260C" w:rsidR="00E72C0C" w:rsidRPr="00E72C0C" w:rsidRDefault="00E72C0C" w:rsidP="00E72C0C">
      <w:pPr>
        <w:rPr>
          <w:rFonts w:ascii="Times New Roman" w:hAnsi="Times New Roman" w:cs="Times New Roman"/>
          <w:sz w:val="24"/>
          <w:szCs w:val="24"/>
        </w:rPr>
      </w:pPr>
      <w:r w:rsidRPr="00E72C0C">
        <w:rPr>
          <w:rFonts w:ascii="Times New Roman" w:hAnsi="Times New Roman" w:cs="Times New Roman"/>
          <w:sz w:val="24"/>
          <w:szCs w:val="24"/>
        </w:rPr>
        <w:t xml:space="preserve">Nirenberg T, Lee C. </w:t>
      </w:r>
      <w:r>
        <w:rPr>
          <w:rFonts w:ascii="Times New Roman" w:hAnsi="Times New Roman" w:cs="Times New Roman"/>
          <w:sz w:val="24"/>
          <w:szCs w:val="24"/>
        </w:rPr>
        <w:t xml:space="preserve">(2003). </w:t>
      </w:r>
      <w:r w:rsidRPr="00E72C0C">
        <w:rPr>
          <w:rFonts w:ascii="Times New Roman" w:hAnsi="Times New Roman" w:cs="Times New Roman"/>
          <w:sz w:val="24"/>
          <w:szCs w:val="24"/>
        </w:rPr>
        <w:t xml:space="preserve">Alcohol, Marijuana and Drug Use Index: Unpublished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72C0C">
        <w:rPr>
          <w:rFonts w:ascii="Times New Roman" w:hAnsi="Times New Roman" w:cs="Times New Roman"/>
          <w:sz w:val="24"/>
          <w:szCs w:val="24"/>
        </w:rPr>
        <w:t>urvey.</w:t>
      </w:r>
    </w:p>
    <w:p w14:paraId="14A0F848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t xml:space="preserve">Robinson, S. M., Sobell, L. C., Sobell, M. B., &amp; Leo, G. I. (2014). Reliability of the Timeline </w:t>
      </w:r>
      <w:proofErr w:type="spellStart"/>
      <w:r w:rsidRPr="00D32B82">
        <w:rPr>
          <w:rFonts w:ascii="Times New Roman" w:hAnsi="Times New Roman" w:cs="Times New Roman"/>
          <w:sz w:val="24"/>
          <w:szCs w:val="24"/>
        </w:rPr>
        <w:t>Followback</w:t>
      </w:r>
      <w:proofErr w:type="spellEnd"/>
      <w:r w:rsidRPr="00D32B82">
        <w:rPr>
          <w:rFonts w:ascii="Times New Roman" w:hAnsi="Times New Roman" w:cs="Times New Roman"/>
          <w:sz w:val="24"/>
          <w:szCs w:val="24"/>
        </w:rPr>
        <w:t xml:space="preserve"> for cocaine, cannabis, and cigarette use.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Psychology of Addictive Behaviors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D32B82">
        <w:rPr>
          <w:rFonts w:ascii="Times New Roman" w:hAnsi="Times New Roman" w:cs="Times New Roman"/>
          <w:sz w:val="24"/>
          <w:szCs w:val="24"/>
        </w:rPr>
        <w:t>(1), 154–162. https://doi.org/10.1037/a0030992</w:t>
      </w:r>
    </w:p>
    <w:p w14:paraId="7E619BC6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t xml:space="preserve">Sieving, R. E., </w:t>
      </w:r>
      <w:proofErr w:type="spellStart"/>
      <w:r w:rsidRPr="00D32B82">
        <w:rPr>
          <w:rFonts w:ascii="Times New Roman" w:hAnsi="Times New Roman" w:cs="Times New Roman"/>
          <w:sz w:val="24"/>
          <w:szCs w:val="24"/>
        </w:rPr>
        <w:t>Beuhring</w:t>
      </w:r>
      <w:proofErr w:type="spellEnd"/>
      <w:r w:rsidRPr="00D32B82">
        <w:rPr>
          <w:rFonts w:ascii="Times New Roman" w:hAnsi="Times New Roman" w:cs="Times New Roman"/>
          <w:sz w:val="24"/>
          <w:szCs w:val="24"/>
        </w:rPr>
        <w:t xml:space="preserve">, T., Resnick, M. D., Bearinger, L. H., Shew, M., Ireland, M., &amp; Blum, R. W. (2001). Development of adolescent self-report measures from the National Longitudinal Study of Adolescent Health.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Journal of Adolescent Health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D32B82">
        <w:rPr>
          <w:rFonts w:ascii="Times New Roman" w:hAnsi="Times New Roman" w:cs="Times New Roman"/>
          <w:sz w:val="24"/>
          <w:szCs w:val="24"/>
        </w:rPr>
        <w:t>(1), 73–81. https://doi.org/10.1016/S1054-139X(00)00155-5</w:t>
      </w:r>
    </w:p>
    <w:p w14:paraId="01A1EEEC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lastRenderedPageBreak/>
        <w:t xml:space="preserve">Sobell, L. C., &amp; Sobell, M. B. (1992). Timeline Follow-back. In R. Z. Litten &amp; J. P. Allen (Eds.),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Measuring alcohol consumption: Psychosocial and biochemical methods</w:t>
      </w:r>
      <w:r w:rsidRPr="00D32B82">
        <w:rPr>
          <w:rFonts w:ascii="Times New Roman" w:hAnsi="Times New Roman" w:cs="Times New Roman"/>
          <w:sz w:val="24"/>
          <w:szCs w:val="24"/>
        </w:rPr>
        <w:t xml:space="preserve"> (pp. 41–72). Humana Press. https://doi.org/10.1007/978-1-4612-0357-5_3</w:t>
      </w:r>
    </w:p>
    <w:p w14:paraId="3C578E1B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t xml:space="preserve">Tucker, J. S., Orlando, M., &amp; Ellickson, P. L. (2003). Patterns and correlates of binge drinking trajectories from early adolescence to young adulthood.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Health Psychology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D32B82">
        <w:rPr>
          <w:rFonts w:ascii="Times New Roman" w:hAnsi="Times New Roman" w:cs="Times New Roman"/>
          <w:sz w:val="24"/>
          <w:szCs w:val="24"/>
        </w:rPr>
        <w:t>(1), 79–87. https://doi.org/10.1037/0278-6133.22.1.79</w:t>
      </w:r>
    </w:p>
    <w:p w14:paraId="05F36865" w14:textId="77777777" w:rsidR="00D32B82" w:rsidRPr="00D32B82" w:rsidRDefault="00D32B82" w:rsidP="00D32B82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D32B82">
        <w:rPr>
          <w:rFonts w:ascii="Times New Roman" w:hAnsi="Times New Roman" w:cs="Times New Roman"/>
          <w:sz w:val="24"/>
          <w:szCs w:val="24"/>
        </w:rPr>
        <w:t xml:space="preserve">WHO ASSIST Working Group. (2002). The Alcohol, Smoking and Substance Involvement Screening Test (ASSIST): Development, reliability and feasibility.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Addiction</w:t>
      </w:r>
      <w:r w:rsidRPr="00D32B82">
        <w:rPr>
          <w:rFonts w:ascii="Times New Roman" w:hAnsi="Times New Roman" w:cs="Times New Roman"/>
          <w:sz w:val="24"/>
          <w:szCs w:val="24"/>
        </w:rPr>
        <w:t xml:space="preserve">, </w:t>
      </w:r>
      <w:r w:rsidRPr="00D32B82">
        <w:rPr>
          <w:rFonts w:ascii="Times New Roman" w:hAnsi="Times New Roman" w:cs="Times New Roman"/>
          <w:i/>
          <w:iCs/>
          <w:sz w:val="24"/>
          <w:szCs w:val="24"/>
        </w:rPr>
        <w:t>97</w:t>
      </w:r>
      <w:r w:rsidRPr="00D32B82">
        <w:rPr>
          <w:rFonts w:ascii="Times New Roman" w:hAnsi="Times New Roman" w:cs="Times New Roman"/>
          <w:sz w:val="24"/>
          <w:szCs w:val="24"/>
        </w:rPr>
        <w:t>(9), 1183–1194. https://doi.org/10.1046/j.1360-0443.2002.00185.x</w:t>
      </w:r>
    </w:p>
    <w:p w14:paraId="549A6041" w14:textId="0C7E263F" w:rsidR="00B316F9" w:rsidRDefault="00B316F9" w:rsidP="00BA4FEB">
      <w:pPr>
        <w:rPr>
          <w:rFonts w:ascii="Times New Roman" w:eastAsia="Times New Roman" w:hAnsi="Times New Roman" w:cs="Times New Roman"/>
          <w:b/>
          <w:bCs/>
          <w:color w:val="131413"/>
        </w:rPr>
      </w:pPr>
    </w:p>
    <w:sectPr w:rsidR="00B316F9" w:rsidSect="00A870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EB"/>
    <w:rsid w:val="00051709"/>
    <w:rsid w:val="000D701D"/>
    <w:rsid w:val="00177740"/>
    <w:rsid w:val="00186469"/>
    <w:rsid w:val="00196E4A"/>
    <w:rsid w:val="00211525"/>
    <w:rsid w:val="00215425"/>
    <w:rsid w:val="0030070F"/>
    <w:rsid w:val="003621EE"/>
    <w:rsid w:val="003E39D3"/>
    <w:rsid w:val="0043158C"/>
    <w:rsid w:val="00462E5F"/>
    <w:rsid w:val="004E4306"/>
    <w:rsid w:val="004F7E3C"/>
    <w:rsid w:val="00562F80"/>
    <w:rsid w:val="00563C3C"/>
    <w:rsid w:val="0059680E"/>
    <w:rsid w:val="00656835"/>
    <w:rsid w:val="006610BB"/>
    <w:rsid w:val="006D0DC0"/>
    <w:rsid w:val="006E0191"/>
    <w:rsid w:val="00727F16"/>
    <w:rsid w:val="0073193E"/>
    <w:rsid w:val="007961BD"/>
    <w:rsid w:val="007E702F"/>
    <w:rsid w:val="008012A4"/>
    <w:rsid w:val="008150F1"/>
    <w:rsid w:val="008334C2"/>
    <w:rsid w:val="009128EE"/>
    <w:rsid w:val="009348C7"/>
    <w:rsid w:val="00972593"/>
    <w:rsid w:val="00974567"/>
    <w:rsid w:val="00994EE9"/>
    <w:rsid w:val="009A1EEF"/>
    <w:rsid w:val="009B1872"/>
    <w:rsid w:val="009F7180"/>
    <w:rsid w:val="00A6457C"/>
    <w:rsid w:val="00A8708A"/>
    <w:rsid w:val="00AF290B"/>
    <w:rsid w:val="00B12236"/>
    <w:rsid w:val="00B316F9"/>
    <w:rsid w:val="00B70354"/>
    <w:rsid w:val="00BA142F"/>
    <w:rsid w:val="00BA3E09"/>
    <w:rsid w:val="00BA4FEB"/>
    <w:rsid w:val="00BA7BF6"/>
    <w:rsid w:val="00BE75B5"/>
    <w:rsid w:val="00C33853"/>
    <w:rsid w:val="00C92970"/>
    <w:rsid w:val="00CA4007"/>
    <w:rsid w:val="00CB243B"/>
    <w:rsid w:val="00D02A27"/>
    <w:rsid w:val="00D27704"/>
    <w:rsid w:val="00D32B82"/>
    <w:rsid w:val="00D33205"/>
    <w:rsid w:val="00D3765F"/>
    <w:rsid w:val="00D91428"/>
    <w:rsid w:val="00E07CAA"/>
    <w:rsid w:val="00E30E97"/>
    <w:rsid w:val="00E72C0C"/>
    <w:rsid w:val="00E85377"/>
    <w:rsid w:val="00E91423"/>
    <w:rsid w:val="00E95C5E"/>
    <w:rsid w:val="00EB469C"/>
    <w:rsid w:val="00F973A3"/>
    <w:rsid w:val="00FB26B2"/>
    <w:rsid w:val="00F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C511"/>
  <w15:chartTrackingRefBased/>
  <w15:docId w15:val="{CFC00734-C96D-46C0-A8FE-1A368B67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F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F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B12236"/>
    <w:pPr>
      <w:spacing w:after="0" w:line="48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E72C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b8536-2643-4779-b085-30b7b0eb8c44">
      <Terms xmlns="http://schemas.microsoft.com/office/infopath/2007/PartnerControls"/>
    </lcf76f155ced4ddcb4097134ff3c332f>
    <TaxCatchAll xmlns="ce218e6d-5405-4b98-b3af-6ee6e43e2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9F409F3B6D442BF0114DA9C870E05" ma:contentTypeVersion="17" ma:contentTypeDescription="Create a new document." ma:contentTypeScope="" ma:versionID="1ca86938e5a99eb4da52d66b42ccdc7e">
  <xsd:schema xmlns:xsd="http://www.w3.org/2001/XMLSchema" xmlns:xs="http://www.w3.org/2001/XMLSchema" xmlns:p="http://schemas.microsoft.com/office/2006/metadata/properties" xmlns:ns2="7eab8536-2643-4779-b085-30b7b0eb8c44" xmlns:ns3="ce218e6d-5405-4b98-b3af-6ee6e43e2a7b" targetNamespace="http://schemas.microsoft.com/office/2006/metadata/properties" ma:root="true" ma:fieldsID="2acd2eef8ab278a1be664edaa982ca4a" ns2:_="" ns3:_="">
    <xsd:import namespace="7eab8536-2643-4779-b085-30b7b0eb8c44"/>
    <xsd:import namespace="ce218e6d-5405-4b98-b3af-6ee6e43e2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8536-2643-4779-b085-30b7b0eb8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18e6d-5405-4b98-b3af-6ee6e43e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9ef91b-0a40-465c-83fd-9891a8efbe4a}" ma:internalName="TaxCatchAll" ma:showField="CatchAllData" ma:web="ce218e6d-5405-4b98-b3af-6ee6e43e2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86FBD-128B-4825-B7BF-E34FEFA926D2}">
  <ds:schemaRefs>
    <ds:schemaRef ds:uri="http://schemas.microsoft.com/office/2006/metadata/properties"/>
    <ds:schemaRef ds:uri="http://schemas.microsoft.com/office/infopath/2007/PartnerControls"/>
    <ds:schemaRef ds:uri="7eab8536-2643-4779-b085-30b7b0eb8c44"/>
    <ds:schemaRef ds:uri="ce218e6d-5405-4b98-b3af-6ee6e43e2a7b"/>
  </ds:schemaRefs>
</ds:datastoreItem>
</file>

<file path=customXml/itemProps2.xml><?xml version="1.0" encoding="utf-8"?>
<ds:datastoreItem xmlns:ds="http://schemas.openxmlformats.org/officeDocument/2006/customXml" ds:itemID="{6BE886CE-43CB-4403-B67B-6B5ACDD11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b8536-2643-4779-b085-30b7b0eb8c44"/>
    <ds:schemaRef ds:uri="ce218e6d-5405-4b98-b3af-6ee6e43e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97A35-8940-43A9-ABED-227268319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Berny</dc:creator>
  <cp:keywords/>
  <dc:description/>
  <cp:lastModifiedBy>Lauren Berny</cp:lastModifiedBy>
  <cp:revision>8</cp:revision>
  <dcterms:created xsi:type="dcterms:W3CDTF">2025-03-23T19:36:00Z</dcterms:created>
  <dcterms:modified xsi:type="dcterms:W3CDTF">2025-04-07T21:10:00Z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id="RYoLLOIZ"/&gt;&lt;style id="http://www.zotero.org/styles/apa" locale="en-GB"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0x0101004E19F409F3B6D442BF0114DA9C870E05</vt:lpwstr>
  </property>
  <property fmtid="{D5CDD505-2E9C-101B-9397-08002B2CF9AE}" pid="4" name="MediaServiceImageTags">
    <vt:lpwstr/>
  </property>
</Properties>
</file>