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41CC" w14:textId="0D3C886F" w:rsidR="00D529E1" w:rsidRPr="00137E61" w:rsidRDefault="006343EC" w:rsidP="006343EC">
      <w:pPr>
        <w:jc w:val="center"/>
        <w:rPr>
          <w:rFonts w:ascii="Times New Roman" w:hAnsi="Times New Roman" w:cs="Times New Roman"/>
          <w:b/>
          <w:bCs/>
        </w:rPr>
      </w:pPr>
      <w:r w:rsidRPr="00137E61">
        <w:rPr>
          <w:rFonts w:ascii="Times New Roman" w:hAnsi="Times New Roman" w:cs="Times New Roman"/>
          <w:b/>
          <w:bCs/>
        </w:rPr>
        <w:t>Supplemental Materials</w:t>
      </w:r>
    </w:p>
    <w:p w14:paraId="5FCAEF45" w14:textId="07327D49" w:rsidR="00525211" w:rsidRPr="00531653" w:rsidRDefault="006343EC" w:rsidP="00531653">
      <w:pPr>
        <w:spacing w:line="480" w:lineRule="auto"/>
        <w:ind w:firstLine="720"/>
        <w:rPr>
          <w:rFonts w:ascii="Times New Roman" w:hAnsi="Times New Roman" w:cs="Times New Roman"/>
        </w:rPr>
      </w:pPr>
      <w:r w:rsidRPr="00AA49BB">
        <w:rPr>
          <w:rFonts w:ascii="Times New Roman" w:hAnsi="Times New Roman" w:cs="Times New Roman"/>
        </w:rPr>
        <w:t>Supplemental Figure 1 shows standardized coefficients for all indirect paths</w:t>
      </w:r>
      <w:r w:rsidR="00A7200F" w:rsidRPr="00AA49BB">
        <w:rPr>
          <w:rFonts w:ascii="Times New Roman" w:hAnsi="Times New Roman" w:cs="Times New Roman"/>
        </w:rPr>
        <w:t xml:space="preserve"> and covariances</w:t>
      </w:r>
      <w:r w:rsidRPr="00AA49BB">
        <w:rPr>
          <w:rFonts w:ascii="Times New Roman" w:hAnsi="Times New Roman" w:cs="Times New Roman"/>
        </w:rPr>
        <w:t xml:space="preserve"> in the model. The </w:t>
      </w:r>
      <w:r w:rsidR="00A7200F" w:rsidRPr="00AA49BB">
        <w:rPr>
          <w:rFonts w:ascii="Times New Roman" w:hAnsi="Times New Roman" w:cs="Times New Roman"/>
        </w:rPr>
        <w:t>direct paths are included</w:t>
      </w:r>
      <w:r w:rsidR="00137E61" w:rsidRPr="00AA49BB">
        <w:rPr>
          <w:rFonts w:ascii="Times New Roman" w:hAnsi="Times New Roman" w:cs="Times New Roman"/>
        </w:rPr>
        <w:t xml:space="preserve"> in the model</w:t>
      </w:r>
      <w:r w:rsidR="00A7200F" w:rsidRPr="00AA49BB">
        <w:rPr>
          <w:rFonts w:ascii="Times New Roman" w:hAnsi="Times New Roman" w:cs="Times New Roman"/>
        </w:rPr>
        <w:t xml:space="preserve"> but are not shown.</w:t>
      </w:r>
      <w:r w:rsidR="006643C0" w:rsidRPr="00AA49BB">
        <w:rPr>
          <w:rFonts w:ascii="Times New Roman" w:hAnsi="Times New Roman" w:cs="Times New Roman"/>
        </w:rPr>
        <w:t xml:space="preserve"> </w:t>
      </w:r>
      <w:r w:rsidR="0073364A" w:rsidRPr="00AA49BB">
        <w:rPr>
          <w:rFonts w:ascii="Times New Roman" w:hAnsi="Times New Roman" w:cs="Times New Roman"/>
        </w:rPr>
        <w:t xml:space="preserve">The direct path from PTE to maternal-reported externalizing problems was significant [females: β = .49, </w:t>
      </w:r>
      <w:r w:rsidR="0073364A" w:rsidRPr="00AA49BB">
        <w:rPr>
          <w:rFonts w:ascii="Times New Roman" w:hAnsi="Times New Roman" w:cs="Times New Roman"/>
          <w:i/>
          <w:iCs/>
        </w:rPr>
        <w:t>p</w:t>
      </w:r>
      <w:r w:rsidR="0073364A" w:rsidRPr="00AA49BB">
        <w:rPr>
          <w:rFonts w:ascii="Times New Roman" w:hAnsi="Times New Roman" w:cs="Times New Roman"/>
        </w:rPr>
        <w:t xml:space="preserve"> = .008, 95% CI (.13, .85); males: β = .43, </w:t>
      </w:r>
      <w:r w:rsidR="0073364A" w:rsidRPr="00AA49BB">
        <w:rPr>
          <w:rFonts w:ascii="Times New Roman" w:hAnsi="Times New Roman" w:cs="Times New Roman"/>
          <w:i/>
          <w:iCs/>
        </w:rPr>
        <w:t>p</w:t>
      </w:r>
      <w:r w:rsidR="0073364A" w:rsidRPr="00AA49BB">
        <w:rPr>
          <w:rFonts w:ascii="Times New Roman" w:hAnsi="Times New Roman" w:cs="Times New Roman"/>
        </w:rPr>
        <w:t xml:space="preserve"> = .005, 95% CI (.13, .73)]</w:t>
      </w:r>
      <w:r w:rsidR="00354FF7" w:rsidRPr="00AA49BB">
        <w:rPr>
          <w:rFonts w:ascii="Times New Roman" w:hAnsi="Times New Roman" w:cs="Times New Roman"/>
        </w:rPr>
        <w:t xml:space="preserve"> but the direct path from PTCE to maternal-reported externalizing problems was not significant [females: β = .32, </w:t>
      </w:r>
      <w:r w:rsidR="00354FF7" w:rsidRPr="00AA49BB">
        <w:rPr>
          <w:rFonts w:ascii="Times New Roman" w:hAnsi="Times New Roman" w:cs="Times New Roman"/>
          <w:i/>
          <w:iCs/>
        </w:rPr>
        <w:t>p</w:t>
      </w:r>
      <w:r w:rsidR="00354FF7" w:rsidRPr="00AA49BB">
        <w:rPr>
          <w:rFonts w:ascii="Times New Roman" w:hAnsi="Times New Roman" w:cs="Times New Roman"/>
        </w:rPr>
        <w:t xml:space="preserve"> = .11, 95% CI (-.07, .70); males: β = .28; </w:t>
      </w:r>
      <w:r w:rsidR="00354FF7" w:rsidRPr="00AA49BB">
        <w:rPr>
          <w:rFonts w:ascii="Times New Roman" w:hAnsi="Times New Roman" w:cs="Times New Roman"/>
          <w:i/>
          <w:iCs/>
        </w:rPr>
        <w:t>p</w:t>
      </w:r>
      <w:r w:rsidR="00354FF7" w:rsidRPr="00AA49BB">
        <w:rPr>
          <w:rFonts w:ascii="Times New Roman" w:hAnsi="Times New Roman" w:cs="Times New Roman"/>
        </w:rPr>
        <w:t xml:space="preserve"> = .11, 95% CI (-.07, .62)]</w:t>
      </w:r>
      <w:r w:rsidR="0073364A" w:rsidRPr="00AA49BB">
        <w:rPr>
          <w:rFonts w:ascii="Times New Roman" w:hAnsi="Times New Roman" w:cs="Times New Roman"/>
        </w:rPr>
        <w:t>.</w:t>
      </w:r>
      <w:r w:rsidR="005E359B" w:rsidRPr="00AA49BB">
        <w:rPr>
          <w:rFonts w:ascii="Times New Roman" w:hAnsi="Times New Roman" w:cs="Times New Roman"/>
        </w:rPr>
        <w:t xml:space="preserve"> The paths from PTE </w:t>
      </w:r>
      <w:r w:rsidR="004F3898" w:rsidRPr="00AA49BB">
        <w:rPr>
          <w:rFonts w:ascii="Times New Roman" w:hAnsi="Times New Roman" w:cs="Times New Roman"/>
          <w:color w:val="000000"/>
        </w:rPr>
        <w:t xml:space="preserve">[females: </w:t>
      </w:r>
      <w:r w:rsidR="004F3898" w:rsidRPr="00AA49BB">
        <w:rPr>
          <w:rFonts w:ascii="Times New Roman" w:hAnsi="Times New Roman" w:cs="Times New Roman"/>
        </w:rPr>
        <w:t>β</w:t>
      </w:r>
      <w:r w:rsidR="004F3898" w:rsidRPr="00AA49BB">
        <w:rPr>
          <w:rFonts w:ascii="Times New Roman" w:hAnsi="Times New Roman" w:cs="Times New Roman"/>
          <w:color w:val="000000"/>
        </w:rPr>
        <w:t xml:space="preserve"> = </w:t>
      </w:r>
      <w:r w:rsidR="00B544BE" w:rsidRPr="00AA49BB">
        <w:rPr>
          <w:rFonts w:ascii="Times New Roman" w:hAnsi="Times New Roman" w:cs="Times New Roman"/>
          <w:color w:val="000000"/>
        </w:rPr>
        <w:t>-</w:t>
      </w:r>
      <w:r w:rsidR="004F3898" w:rsidRPr="00AA49BB">
        <w:rPr>
          <w:rFonts w:ascii="Times New Roman" w:hAnsi="Times New Roman" w:cs="Times New Roman"/>
          <w:color w:val="000000"/>
        </w:rPr>
        <w:t>.</w:t>
      </w:r>
      <w:r w:rsidR="00B544BE" w:rsidRPr="00AA49BB">
        <w:rPr>
          <w:rFonts w:ascii="Times New Roman" w:hAnsi="Times New Roman" w:cs="Times New Roman"/>
          <w:color w:val="000000"/>
        </w:rPr>
        <w:t>1</w:t>
      </w:r>
      <w:r w:rsidR="004F3898" w:rsidRPr="00AA49BB">
        <w:rPr>
          <w:rFonts w:ascii="Times New Roman" w:hAnsi="Times New Roman" w:cs="Times New Roman"/>
          <w:color w:val="000000"/>
        </w:rPr>
        <w:t xml:space="preserve">2, </w:t>
      </w:r>
      <w:r w:rsidR="004F3898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4F3898" w:rsidRPr="00AA49BB">
        <w:rPr>
          <w:rFonts w:ascii="Times New Roman" w:hAnsi="Times New Roman" w:cs="Times New Roman"/>
          <w:color w:val="000000"/>
        </w:rPr>
        <w:t xml:space="preserve"> = .</w:t>
      </w:r>
      <w:r w:rsidR="00B544BE" w:rsidRPr="00AA49BB">
        <w:rPr>
          <w:rFonts w:ascii="Times New Roman" w:hAnsi="Times New Roman" w:cs="Times New Roman"/>
          <w:color w:val="000000"/>
        </w:rPr>
        <w:t>5</w:t>
      </w:r>
      <w:r w:rsidR="00B616D8" w:rsidRPr="00AA49BB">
        <w:rPr>
          <w:rFonts w:ascii="Times New Roman" w:hAnsi="Times New Roman" w:cs="Times New Roman"/>
          <w:color w:val="000000"/>
        </w:rPr>
        <w:t>1</w:t>
      </w:r>
      <w:r w:rsidR="004F3898" w:rsidRPr="00AA49BB">
        <w:rPr>
          <w:rFonts w:ascii="Times New Roman" w:hAnsi="Times New Roman" w:cs="Times New Roman"/>
          <w:color w:val="000000"/>
        </w:rPr>
        <w:t>, 95% CI (-.</w:t>
      </w:r>
      <w:r w:rsidR="00AF0F40" w:rsidRPr="00AA49BB">
        <w:rPr>
          <w:rFonts w:ascii="Times New Roman" w:hAnsi="Times New Roman" w:cs="Times New Roman"/>
          <w:color w:val="000000"/>
        </w:rPr>
        <w:t>48</w:t>
      </w:r>
      <w:r w:rsidR="004F3898" w:rsidRPr="00AA49BB">
        <w:rPr>
          <w:rFonts w:ascii="Times New Roman" w:hAnsi="Times New Roman" w:cs="Times New Roman"/>
          <w:color w:val="000000"/>
        </w:rPr>
        <w:t>, .</w:t>
      </w:r>
      <w:r w:rsidR="002D4495" w:rsidRPr="00AA49BB">
        <w:rPr>
          <w:rFonts w:ascii="Times New Roman" w:hAnsi="Times New Roman" w:cs="Times New Roman"/>
          <w:color w:val="000000"/>
        </w:rPr>
        <w:t>18</w:t>
      </w:r>
      <w:r w:rsidR="004F3898" w:rsidRPr="00AA49BB">
        <w:rPr>
          <w:rFonts w:ascii="Times New Roman" w:hAnsi="Times New Roman" w:cs="Times New Roman"/>
          <w:color w:val="000000"/>
        </w:rPr>
        <w:t xml:space="preserve">); males: </w:t>
      </w:r>
      <w:r w:rsidR="004F3898" w:rsidRPr="00AA49BB">
        <w:rPr>
          <w:rFonts w:ascii="Times New Roman" w:hAnsi="Times New Roman" w:cs="Times New Roman"/>
        </w:rPr>
        <w:t>β</w:t>
      </w:r>
      <w:r w:rsidR="004F3898" w:rsidRPr="00AA49BB">
        <w:rPr>
          <w:rFonts w:ascii="Times New Roman" w:hAnsi="Times New Roman" w:cs="Times New Roman"/>
          <w:color w:val="000000"/>
        </w:rPr>
        <w:t xml:space="preserve"> = </w:t>
      </w:r>
      <w:r w:rsidR="00525211" w:rsidRPr="00AA49BB">
        <w:rPr>
          <w:rFonts w:ascii="Times New Roman" w:hAnsi="Times New Roman" w:cs="Times New Roman"/>
          <w:color w:val="000000"/>
        </w:rPr>
        <w:t>-</w:t>
      </w:r>
      <w:r w:rsidR="004F3898" w:rsidRPr="00AA49BB">
        <w:rPr>
          <w:rFonts w:ascii="Times New Roman" w:hAnsi="Times New Roman" w:cs="Times New Roman"/>
          <w:color w:val="000000"/>
        </w:rPr>
        <w:t>.</w:t>
      </w:r>
      <w:r w:rsidR="00525211" w:rsidRPr="00AA49BB">
        <w:rPr>
          <w:rFonts w:ascii="Times New Roman" w:hAnsi="Times New Roman" w:cs="Times New Roman"/>
          <w:color w:val="000000"/>
        </w:rPr>
        <w:t>11</w:t>
      </w:r>
      <w:r w:rsidR="004F3898" w:rsidRPr="00AA49BB">
        <w:rPr>
          <w:rFonts w:ascii="Times New Roman" w:hAnsi="Times New Roman" w:cs="Times New Roman"/>
          <w:color w:val="000000"/>
        </w:rPr>
        <w:t xml:space="preserve">; </w:t>
      </w:r>
      <w:r w:rsidR="004F3898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4F3898" w:rsidRPr="00AA49BB">
        <w:rPr>
          <w:rFonts w:ascii="Times New Roman" w:hAnsi="Times New Roman" w:cs="Times New Roman"/>
          <w:color w:val="000000"/>
        </w:rPr>
        <w:t xml:space="preserve"> = .</w:t>
      </w:r>
      <w:r w:rsidR="00525211" w:rsidRPr="00AA49BB">
        <w:rPr>
          <w:rFonts w:ascii="Times New Roman" w:hAnsi="Times New Roman" w:cs="Times New Roman"/>
          <w:color w:val="000000"/>
        </w:rPr>
        <w:t>5</w:t>
      </w:r>
      <w:r w:rsidR="004F3898" w:rsidRPr="00AA49BB">
        <w:rPr>
          <w:rFonts w:ascii="Times New Roman" w:hAnsi="Times New Roman" w:cs="Times New Roman"/>
          <w:color w:val="000000"/>
        </w:rPr>
        <w:t>1, 95% CI (-.</w:t>
      </w:r>
      <w:r w:rsidR="00CA00AD" w:rsidRPr="00AA49BB">
        <w:rPr>
          <w:rFonts w:ascii="Times New Roman" w:hAnsi="Times New Roman" w:cs="Times New Roman"/>
          <w:color w:val="000000"/>
        </w:rPr>
        <w:t>44</w:t>
      </w:r>
      <w:r w:rsidR="004F3898" w:rsidRPr="00AA49BB">
        <w:rPr>
          <w:rFonts w:ascii="Times New Roman" w:hAnsi="Times New Roman" w:cs="Times New Roman"/>
          <w:color w:val="000000"/>
        </w:rPr>
        <w:t>, .</w:t>
      </w:r>
      <w:r w:rsidR="00CA00AD" w:rsidRPr="00AA49BB">
        <w:rPr>
          <w:rFonts w:ascii="Times New Roman" w:hAnsi="Times New Roman" w:cs="Times New Roman"/>
          <w:color w:val="000000"/>
        </w:rPr>
        <w:t>16</w:t>
      </w:r>
      <w:r w:rsidR="004F3898" w:rsidRPr="00AA49BB">
        <w:rPr>
          <w:rFonts w:ascii="Times New Roman" w:hAnsi="Times New Roman" w:cs="Times New Roman"/>
          <w:color w:val="000000"/>
        </w:rPr>
        <w:t xml:space="preserve">)] </w:t>
      </w:r>
      <w:r w:rsidR="00B616D8" w:rsidRPr="00AA49BB">
        <w:rPr>
          <w:rFonts w:ascii="Times New Roman" w:hAnsi="Times New Roman" w:cs="Times New Roman"/>
          <w:color w:val="000000"/>
        </w:rPr>
        <w:t xml:space="preserve">and PTCE [females: </w:t>
      </w:r>
      <w:r w:rsidR="00B616D8" w:rsidRPr="00AA49BB">
        <w:rPr>
          <w:rFonts w:ascii="Times New Roman" w:hAnsi="Times New Roman" w:cs="Times New Roman"/>
        </w:rPr>
        <w:t>β</w:t>
      </w:r>
      <w:r w:rsidR="00B616D8" w:rsidRPr="00AA49BB">
        <w:rPr>
          <w:rFonts w:ascii="Times New Roman" w:hAnsi="Times New Roman" w:cs="Times New Roman"/>
          <w:color w:val="000000"/>
        </w:rPr>
        <w:t xml:space="preserve"> = .18, </w:t>
      </w:r>
      <w:r w:rsidR="00B616D8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B616D8" w:rsidRPr="00AA49BB">
        <w:rPr>
          <w:rFonts w:ascii="Times New Roman" w:hAnsi="Times New Roman" w:cs="Times New Roman"/>
          <w:color w:val="000000"/>
        </w:rPr>
        <w:t xml:space="preserve"> = .37, 95% CI (-.</w:t>
      </w:r>
      <w:r w:rsidR="002D4495" w:rsidRPr="00AA49BB">
        <w:rPr>
          <w:rFonts w:ascii="Times New Roman" w:hAnsi="Times New Roman" w:cs="Times New Roman"/>
          <w:color w:val="000000"/>
        </w:rPr>
        <w:t>21</w:t>
      </w:r>
      <w:r w:rsidR="00B616D8" w:rsidRPr="00AA49BB">
        <w:rPr>
          <w:rFonts w:ascii="Times New Roman" w:hAnsi="Times New Roman" w:cs="Times New Roman"/>
          <w:color w:val="000000"/>
        </w:rPr>
        <w:t>, .</w:t>
      </w:r>
      <w:r w:rsidR="002D4495" w:rsidRPr="00AA49BB">
        <w:rPr>
          <w:rFonts w:ascii="Times New Roman" w:hAnsi="Times New Roman" w:cs="Times New Roman"/>
          <w:color w:val="000000"/>
        </w:rPr>
        <w:t>51</w:t>
      </w:r>
      <w:r w:rsidR="00B616D8" w:rsidRPr="00AA49BB">
        <w:rPr>
          <w:rFonts w:ascii="Times New Roman" w:hAnsi="Times New Roman" w:cs="Times New Roman"/>
          <w:color w:val="000000"/>
        </w:rPr>
        <w:t xml:space="preserve">); males: </w:t>
      </w:r>
      <w:r w:rsidR="00B616D8" w:rsidRPr="00AA49BB">
        <w:rPr>
          <w:rFonts w:ascii="Times New Roman" w:hAnsi="Times New Roman" w:cs="Times New Roman"/>
        </w:rPr>
        <w:t>β</w:t>
      </w:r>
      <w:r w:rsidR="00B616D8" w:rsidRPr="00AA49BB">
        <w:rPr>
          <w:rFonts w:ascii="Times New Roman" w:hAnsi="Times New Roman" w:cs="Times New Roman"/>
          <w:color w:val="000000"/>
        </w:rPr>
        <w:t xml:space="preserve"> = .</w:t>
      </w:r>
      <w:r w:rsidR="00525211" w:rsidRPr="00AA49BB">
        <w:rPr>
          <w:rFonts w:ascii="Times New Roman" w:hAnsi="Times New Roman" w:cs="Times New Roman"/>
          <w:color w:val="000000"/>
        </w:rPr>
        <w:t>16</w:t>
      </w:r>
      <w:r w:rsidR="00B616D8" w:rsidRPr="00AA49BB">
        <w:rPr>
          <w:rFonts w:ascii="Times New Roman" w:hAnsi="Times New Roman" w:cs="Times New Roman"/>
          <w:color w:val="000000"/>
        </w:rPr>
        <w:t xml:space="preserve">; </w:t>
      </w:r>
      <w:r w:rsidR="00B616D8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B616D8" w:rsidRPr="00AA49BB">
        <w:rPr>
          <w:rFonts w:ascii="Times New Roman" w:hAnsi="Times New Roman" w:cs="Times New Roman"/>
          <w:color w:val="000000"/>
        </w:rPr>
        <w:t xml:space="preserve"> = .</w:t>
      </w:r>
      <w:r w:rsidR="00525211" w:rsidRPr="00AA49BB">
        <w:rPr>
          <w:rFonts w:ascii="Times New Roman" w:hAnsi="Times New Roman" w:cs="Times New Roman"/>
          <w:color w:val="000000"/>
        </w:rPr>
        <w:t>37</w:t>
      </w:r>
      <w:r w:rsidR="00B616D8" w:rsidRPr="00AA49BB">
        <w:rPr>
          <w:rFonts w:ascii="Times New Roman" w:hAnsi="Times New Roman" w:cs="Times New Roman"/>
          <w:color w:val="000000"/>
        </w:rPr>
        <w:t>, 95% CI (-.</w:t>
      </w:r>
      <w:r w:rsidR="00CA00AD" w:rsidRPr="00AA49BB">
        <w:rPr>
          <w:rFonts w:ascii="Times New Roman" w:hAnsi="Times New Roman" w:cs="Times New Roman"/>
          <w:color w:val="000000"/>
        </w:rPr>
        <w:t>19</w:t>
      </w:r>
      <w:r w:rsidR="00B616D8" w:rsidRPr="00AA49BB">
        <w:rPr>
          <w:rFonts w:ascii="Times New Roman" w:hAnsi="Times New Roman" w:cs="Times New Roman"/>
          <w:color w:val="000000"/>
        </w:rPr>
        <w:t>, .</w:t>
      </w:r>
      <w:r w:rsidR="00CA00AD" w:rsidRPr="00AA49BB">
        <w:rPr>
          <w:rFonts w:ascii="Times New Roman" w:hAnsi="Times New Roman" w:cs="Times New Roman"/>
          <w:color w:val="000000"/>
        </w:rPr>
        <w:t>46</w:t>
      </w:r>
      <w:r w:rsidR="00B616D8" w:rsidRPr="00AA49BB">
        <w:rPr>
          <w:rFonts w:ascii="Times New Roman" w:hAnsi="Times New Roman" w:cs="Times New Roman"/>
          <w:color w:val="000000"/>
        </w:rPr>
        <w:t xml:space="preserve">)] </w:t>
      </w:r>
      <w:r w:rsidR="00525211" w:rsidRPr="00AA49BB">
        <w:rPr>
          <w:rFonts w:ascii="Times New Roman" w:hAnsi="Times New Roman" w:cs="Times New Roman"/>
        </w:rPr>
        <w:t xml:space="preserve">to teacher-reported externalizing problems were not significant. </w:t>
      </w:r>
      <w:r w:rsidR="00A35DC2" w:rsidRPr="00AA49BB">
        <w:rPr>
          <w:rFonts w:ascii="Times New Roman" w:hAnsi="Times New Roman" w:cs="Times New Roman"/>
        </w:rPr>
        <w:t xml:space="preserve">Alcohol </w:t>
      </w:r>
      <w:r w:rsidR="00DF15A4" w:rsidRPr="00AA49BB">
        <w:rPr>
          <w:rFonts w:ascii="Times New Roman" w:hAnsi="Times New Roman" w:cs="Times New Roman"/>
        </w:rPr>
        <w:t xml:space="preserve">use in pregnancy was associated with </w:t>
      </w:r>
      <w:r w:rsidR="00F22479" w:rsidRPr="00AA49BB">
        <w:rPr>
          <w:rFonts w:ascii="Times New Roman" w:hAnsi="Times New Roman" w:cs="Times New Roman"/>
        </w:rPr>
        <w:t>maternal</w:t>
      </w:r>
      <w:r w:rsidR="00FB786E" w:rsidRPr="00AA49BB">
        <w:rPr>
          <w:rFonts w:ascii="Times New Roman" w:hAnsi="Times New Roman" w:cs="Times New Roman"/>
        </w:rPr>
        <w:t>-</w:t>
      </w:r>
      <w:r w:rsidR="00F22479" w:rsidRPr="00AA49BB">
        <w:rPr>
          <w:rFonts w:ascii="Times New Roman" w:hAnsi="Times New Roman" w:cs="Times New Roman"/>
        </w:rPr>
        <w:t xml:space="preserve">reported externalizing problems </w:t>
      </w:r>
      <w:r w:rsidR="00F22479" w:rsidRPr="00AA49BB">
        <w:rPr>
          <w:rFonts w:ascii="Times New Roman" w:hAnsi="Times New Roman" w:cs="Times New Roman"/>
          <w:color w:val="000000"/>
        </w:rPr>
        <w:t xml:space="preserve">[females: </w:t>
      </w:r>
      <w:r w:rsidR="00F22479" w:rsidRPr="00AA49BB">
        <w:rPr>
          <w:rFonts w:ascii="Times New Roman" w:hAnsi="Times New Roman" w:cs="Times New Roman"/>
        </w:rPr>
        <w:t>β</w:t>
      </w:r>
      <w:r w:rsidR="00F22479" w:rsidRPr="00AA49BB">
        <w:rPr>
          <w:rFonts w:ascii="Times New Roman" w:hAnsi="Times New Roman" w:cs="Times New Roman"/>
          <w:color w:val="000000"/>
        </w:rPr>
        <w:t xml:space="preserve"> = </w:t>
      </w:r>
      <w:r w:rsidR="004D415E" w:rsidRPr="00AA49BB">
        <w:rPr>
          <w:rFonts w:ascii="Times New Roman" w:hAnsi="Times New Roman" w:cs="Times New Roman"/>
          <w:color w:val="000000"/>
        </w:rPr>
        <w:t>-</w:t>
      </w:r>
      <w:r w:rsidR="00F22479" w:rsidRPr="00AA49BB">
        <w:rPr>
          <w:rFonts w:ascii="Times New Roman" w:hAnsi="Times New Roman" w:cs="Times New Roman"/>
          <w:color w:val="000000"/>
        </w:rPr>
        <w:t>.</w:t>
      </w:r>
      <w:r w:rsidR="00D31516" w:rsidRPr="00AA49BB">
        <w:rPr>
          <w:rFonts w:ascii="Times New Roman" w:hAnsi="Times New Roman" w:cs="Times New Roman"/>
          <w:color w:val="000000"/>
        </w:rPr>
        <w:t>30</w:t>
      </w:r>
      <w:r w:rsidR="00F22479" w:rsidRPr="00AA49BB">
        <w:rPr>
          <w:rFonts w:ascii="Times New Roman" w:hAnsi="Times New Roman" w:cs="Times New Roman"/>
          <w:color w:val="000000"/>
        </w:rPr>
        <w:t xml:space="preserve">, </w:t>
      </w:r>
      <w:r w:rsidR="00F22479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F22479" w:rsidRPr="00AA49BB">
        <w:rPr>
          <w:rFonts w:ascii="Times New Roman" w:hAnsi="Times New Roman" w:cs="Times New Roman"/>
          <w:color w:val="000000"/>
        </w:rPr>
        <w:t xml:space="preserve"> = .</w:t>
      </w:r>
      <w:r w:rsidR="004D415E" w:rsidRPr="00AA49BB">
        <w:rPr>
          <w:rFonts w:ascii="Times New Roman" w:hAnsi="Times New Roman" w:cs="Times New Roman"/>
          <w:color w:val="000000"/>
        </w:rPr>
        <w:t>0</w:t>
      </w:r>
      <w:r w:rsidR="00D31516" w:rsidRPr="00AA49BB">
        <w:rPr>
          <w:rFonts w:ascii="Times New Roman" w:hAnsi="Times New Roman" w:cs="Times New Roman"/>
          <w:color w:val="000000"/>
        </w:rPr>
        <w:t>2</w:t>
      </w:r>
      <w:r w:rsidR="00F22479" w:rsidRPr="00AA49BB">
        <w:rPr>
          <w:rFonts w:ascii="Times New Roman" w:hAnsi="Times New Roman" w:cs="Times New Roman"/>
          <w:color w:val="000000"/>
        </w:rPr>
        <w:t>, 95% CI (-.</w:t>
      </w:r>
      <w:r w:rsidR="00FB786E" w:rsidRPr="00AA49BB">
        <w:rPr>
          <w:rFonts w:ascii="Times New Roman" w:hAnsi="Times New Roman" w:cs="Times New Roman"/>
          <w:color w:val="000000"/>
        </w:rPr>
        <w:t>55</w:t>
      </w:r>
      <w:r w:rsidR="00F22479" w:rsidRPr="00AA49BB">
        <w:rPr>
          <w:rFonts w:ascii="Times New Roman" w:hAnsi="Times New Roman" w:cs="Times New Roman"/>
          <w:color w:val="000000"/>
        </w:rPr>
        <w:t xml:space="preserve">, </w:t>
      </w:r>
      <w:r w:rsidR="00DC1B13" w:rsidRPr="00AA49BB">
        <w:rPr>
          <w:rFonts w:ascii="Times New Roman" w:hAnsi="Times New Roman" w:cs="Times New Roman"/>
          <w:color w:val="000000"/>
        </w:rPr>
        <w:t>-.09</w:t>
      </w:r>
      <w:r w:rsidR="00F22479" w:rsidRPr="00AA49BB">
        <w:rPr>
          <w:rFonts w:ascii="Times New Roman" w:hAnsi="Times New Roman" w:cs="Times New Roman"/>
          <w:color w:val="000000"/>
        </w:rPr>
        <w:t xml:space="preserve">); males: </w:t>
      </w:r>
      <w:r w:rsidR="00F22479" w:rsidRPr="00AA49BB">
        <w:rPr>
          <w:rFonts w:ascii="Times New Roman" w:hAnsi="Times New Roman" w:cs="Times New Roman"/>
        </w:rPr>
        <w:t>β</w:t>
      </w:r>
      <w:r w:rsidR="00F22479" w:rsidRPr="00AA49BB">
        <w:rPr>
          <w:rFonts w:ascii="Times New Roman" w:hAnsi="Times New Roman" w:cs="Times New Roman"/>
          <w:color w:val="000000"/>
        </w:rPr>
        <w:t xml:space="preserve"> = </w:t>
      </w:r>
      <w:r w:rsidR="004D415E" w:rsidRPr="00AA49BB">
        <w:rPr>
          <w:rFonts w:ascii="Times New Roman" w:hAnsi="Times New Roman" w:cs="Times New Roman"/>
          <w:color w:val="000000"/>
        </w:rPr>
        <w:t>-.27</w:t>
      </w:r>
      <w:r w:rsidR="00F22479" w:rsidRPr="00AA49BB">
        <w:rPr>
          <w:rFonts w:ascii="Times New Roman" w:hAnsi="Times New Roman" w:cs="Times New Roman"/>
          <w:color w:val="000000"/>
        </w:rPr>
        <w:t xml:space="preserve">; </w:t>
      </w:r>
      <w:r w:rsidR="00F22479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F22479" w:rsidRPr="00AA49BB">
        <w:rPr>
          <w:rFonts w:ascii="Times New Roman" w:hAnsi="Times New Roman" w:cs="Times New Roman"/>
          <w:color w:val="000000"/>
        </w:rPr>
        <w:t xml:space="preserve"> = .</w:t>
      </w:r>
      <w:r w:rsidR="004D415E" w:rsidRPr="00AA49BB">
        <w:rPr>
          <w:rFonts w:ascii="Times New Roman" w:hAnsi="Times New Roman" w:cs="Times New Roman"/>
          <w:color w:val="000000"/>
        </w:rPr>
        <w:t>03</w:t>
      </w:r>
      <w:r w:rsidR="00F22479" w:rsidRPr="00AA49BB">
        <w:rPr>
          <w:rFonts w:ascii="Times New Roman" w:hAnsi="Times New Roman" w:cs="Times New Roman"/>
          <w:color w:val="000000"/>
        </w:rPr>
        <w:t>, 95% CI (-.</w:t>
      </w:r>
      <w:r w:rsidR="00CA00AD" w:rsidRPr="00AA49BB">
        <w:rPr>
          <w:rFonts w:ascii="Times New Roman" w:hAnsi="Times New Roman" w:cs="Times New Roman"/>
          <w:color w:val="000000"/>
        </w:rPr>
        <w:t>50</w:t>
      </w:r>
      <w:r w:rsidR="00F22479" w:rsidRPr="00AA49BB">
        <w:rPr>
          <w:rFonts w:ascii="Times New Roman" w:hAnsi="Times New Roman" w:cs="Times New Roman"/>
          <w:color w:val="000000"/>
        </w:rPr>
        <w:t xml:space="preserve">, </w:t>
      </w:r>
      <w:r w:rsidR="00AA49BB" w:rsidRPr="00AA49BB">
        <w:rPr>
          <w:rFonts w:ascii="Times New Roman" w:hAnsi="Times New Roman" w:cs="Times New Roman"/>
          <w:color w:val="000000"/>
        </w:rPr>
        <w:t>-.07</w:t>
      </w:r>
      <w:r w:rsidR="00F22479" w:rsidRPr="00AA49BB">
        <w:rPr>
          <w:rFonts w:ascii="Times New Roman" w:hAnsi="Times New Roman" w:cs="Times New Roman"/>
          <w:color w:val="000000"/>
        </w:rPr>
        <w:t>)]</w:t>
      </w:r>
      <w:r w:rsidR="00F22479" w:rsidRPr="00AA49BB">
        <w:rPr>
          <w:rFonts w:ascii="Times New Roman" w:hAnsi="Times New Roman" w:cs="Times New Roman"/>
        </w:rPr>
        <w:t xml:space="preserve"> and not related to teacher-reported externalizing problems</w:t>
      </w:r>
      <w:r w:rsidR="004D415E" w:rsidRPr="00AA49BB">
        <w:rPr>
          <w:rFonts w:ascii="Times New Roman" w:hAnsi="Times New Roman" w:cs="Times New Roman"/>
        </w:rPr>
        <w:t xml:space="preserve"> </w:t>
      </w:r>
      <w:r w:rsidR="004D415E" w:rsidRPr="00AA49BB">
        <w:rPr>
          <w:rFonts w:ascii="Times New Roman" w:hAnsi="Times New Roman" w:cs="Times New Roman"/>
          <w:color w:val="000000"/>
        </w:rPr>
        <w:t xml:space="preserve">[females: </w:t>
      </w:r>
      <w:r w:rsidR="004D415E" w:rsidRPr="00AA49BB">
        <w:rPr>
          <w:rFonts w:ascii="Times New Roman" w:hAnsi="Times New Roman" w:cs="Times New Roman"/>
        </w:rPr>
        <w:t>β</w:t>
      </w:r>
      <w:r w:rsidR="004D415E" w:rsidRPr="00AA49BB">
        <w:rPr>
          <w:rFonts w:ascii="Times New Roman" w:hAnsi="Times New Roman" w:cs="Times New Roman"/>
          <w:color w:val="000000"/>
        </w:rPr>
        <w:t xml:space="preserve"> = .1</w:t>
      </w:r>
      <w:r w:rsidR="00D31516" w:rsidRPr="00AA49BB">
        <w:rPr>
          <w:rFonts w:ascii="Times New Roman" w:hAnsi="Times New Roman" w:cs="Times New Roman"/>
          <w:color w:val="000000"/>
        </w:rPr>
        <w:t>1</w:t>
      </w:r>
      <w:r w:rsidR="004D415E" w:rsidRPr="00AA49BB">
        <w:rPr>
          <w:rFonts w:ascii="Times New Roman" w:hAnsi="Times New Roman" w:cs="Times New Roman"/>
          <w:color w:val="000000"/>
        </w:rPr>
        <w:t xml:space="preserve">, </w:t>
      </w:r>
      <w:r w:rsidR="004D415E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4D415E" w:rsidRPr="00AA49BB">
        <w:rPr>
          <w:rFonts w:ascii="Times New Roman" w:hAnsi="Times New Roman" w:cs="Times New Roman"/>
          <w:color w:val="000000"/>
        </w:rPr>
        <w:t xml:space="preserve"> = .</w:t>
      </w:r>
      <w:r w:rsidR="00D31516" w:rsidRPr="00AA49BB">
        <w:rPr>
          <w:rFonts w:ascii="Times New Roman" w:hAnsi="Times New Roman" w:cs="Times New Roman"/>
          <w:color w:val="000000"/>
        </w:rPr>
        <w:t>50</w:t>
      </w:r>
      <w:r w:rsidR="004D415E" w:rsidRPr="00AA49BB">
        <w:rPr>
          <w:rFonts w:ascii="Times New Roman" w:hAnsi="Times New Roman" w:cs="Times New Roman"/>
          <w:color w:val="000000"/>
        </w:rPr>
        <w:t>, 95% CI (-.</w:t>
      </w:r>
      <w:r w:rsidR="00FB786E" w:rsidRPr="00AA49BB">
        <w:rPr>
          <w:rFonts w:ascii="Times New Roman" w:hAnsi="Times New Roman" w:cs="Times New Roman"/>
          <w:color w:val="000000"/>
        </w:rPr>
        <w:t>20</w:t>
      </w:r>
      <w:r w:rsidR="004D415E" w:rsidRPr="00AA49BB">
        <w:rPr>
          <w:rFonts w:ascii="Times New Roman" w:hAnsi="Times New Roman" w:cs="Times New Roman"/>
          <w:color w:val="000000"/>
        </w:rPr>
        <w:t>, .</w:t>
      </w:r>
      <w:r w:rsidR="00FB786E" w:rsidRPr="00AA49BB">
        <w:rPr>
          <w:rFonts w:ascii="Times New Roman" w:hAnsi="Times New Roman" w:cs="Times New Roman"/>
          <w:color w:val="000000"/>
        </w:rPr>
        <w:t>36</w:t>
      </w:r>
      <w:r w:rsidR="004D415E" w:rsidRPr="00AA49BB">
        <w:rPr>
          <w:rFonts w:ascii="Times New Roman" w:hAnsi="Times New Roman" w:cs="Times New Roman"/>
          <w:color w:val="000000"/>
        </w:rPr>
        <w:t xml:space="preserve">); males: </w:t>
      </w:r>
      <w:r w:rsidR="004D415E" w:rsidRPr="00AA49BB">
        <w:rPr>
          <w:rFonts w:ascii="Times New Roman" w:hAnsi="Times New Roman" w:cs="Times New Roman"/>
        </w:rPr>
        <w:t>β</w:t>
      </w:r>
      <w:r w:rsidR="004D415E" w:rsidRPr="00AA49BB">
        <w:rPr>
          <w:rFonts w:ascii="Times New Roman" w:hAnsi="Times New Roman" w:cs="Times New Roman"/>
          <w:color w:val="000000"/>
        </w:rPr>
        <w:t xml:space="preserve"> = .10; </w:t>
      </w:r>
      <w:r w:rsidR="004D415E" w:rsidRPr="00AA49BB">
        <w:rPr>
          <w:rFonts w:ascii="Times New Roman" w:hAnsi="Times New Roman" w:cs="Times New Roman"/>
          <w:i/>
          <w:iCs/>
          <w:color w:val="000000"/>
        </w:rPr>
        <w:t>p</w:t>
      </w:r>
      <w:r w:rsidR="004D415E" w:rsidRPr="00AA49BB">
        <w:rPr>
          <w:rFonts w:ascii="Times New Roman" w:hAnsi="Times New Roman" w:cs="Times New Roman"/>
          <w:color w:val="000000"/>
        </w:rPr>
        <w:t xml:space="preserve"> = .51, 95% CI</w:t>
      </w:r>
      <w:r w:rsidR="00AA49BB" w:rsidRPr="00AA49BB">
        <w:rPr>
          <w:rFonts w:ascii="Times New Roman" w:hAnsi="Times New Roman" w:cs="Times New Roman"/>
          <w:color w:val="000000"/>
        </w:rPr>
        <w:t xml:space="preserve"> (-.19, .33</w:t>
      </w:r>
      <w:r w:rsidR="004D415E" w:rsidRPr="00AA49BB">
        <w:rPr>
          <w:rFonts w:ascii="Times New Roman" w:hAnsi="Times New Roman" w:cs="Times New Roman"/>
          <w:color w:val="000000"/>
        </w:rPr>
        <w:t>)]</w:t>
      </w:r>
      <w:r w:rsidR="00F22479" w:rsidRPr="00AA49BB">
        <w:rPr>
          <w:rFonts w:ascii="Times New Roman" w:hAnsi="Times New Roman" w:cs="Times New Roman"/>
        </w:rPr>
        <w:t xml:space="preserve">. </w:t>
      </w:r>
      <w:r w:rsidR="00E837E5" w:rsidRPr="00AA49BB">
        <w:rPr>
          <w:rFonts w:ascii="Times New Roman" w:hAnsi="Times New Roman" w:cs="Times New Roman"/>
        </w:rPr>
        <w:t>Of note, this effect is a suppression effect given that the association between alcohol exposure and maternal-reported externalizing problems was not significant in the direct effects models.</w:t>
      </w:r>
      <w:r w:rsidR="00E837E5">
        <w:rPr>
          <w:rFonts w:ascii="Times New Roman" w:hAnsi="Times New Roman" w:cs="Times New Roman"/>
        </w:rPr>
        <w:t xml:space="preserve"> </w:t>
      </w:r>
    </w:p>
    <w:p w14:paraId="06139A98" w14:textId="6436B03B" w:rsidR="00A7200F" w:rsidRPr="00137E61" w:rsidRDefault="006643C0" w:rsidP="006343EC">
      <w:pPr>
        <w:spacing w:line="480" w:lineRule="auto"/>
        <w:ind w:firstLine="720"/>
        <w:rPr>
          <w:rFonts w:ascii="Times New Roman" w:hAnsi="Times New Roman" w:cs="Times New Roman"/>
        </w:rPr>
      </w:pPr>
      <w:r w:rsidRPr="00137E61">
        <w:rPr>
          <w:rFonts w:ascii="Times New Roman" w:hAnsi="Times New Roman" w:cs="Times New Roman"/>
        </w:rPr>
        <w:t xml:space="preserve">Covariances were included between postnatal </w:t>
      </w:r>
      <w:r w:rsidR="009C240D" w:rsidRPr="00137E61">
        <w:rPr>
          <w:rFonts w:ascii="Times New Roman" w:hAnsi="Times New Roman" w:cs="Times New Roman"/>
        </w:rPr>
        <w:t>tobacco</w:t>
      </w:r>
      <w:r w:rsidRPr="00137E61">
        <w:rPr>
          <w:rFonts w:ascii="Times New Roman" w:hAnsi="Times New Roman" w:cs="Times New Roman"/>
        </w:rPr>
        <w:t xml:space="preserve"> exposure and </w:t>
      </w:r>
      <w:r w:rsidR="009C240D" w:rsidRPr="00137E61">
        <w:rPr>
          <w:rFonts w:ascii="Times New Roman" w:hAnsi="Times New Roman" w:cs="Times New Roman"/>
        </w:rPr>
        <w:t>the toddler</w:t>
      </w:r>
      <w:r w:rsidR="001229A7">
        <w:rPr>
          <w:rFonts w:ascii="Times New Roman" w:hAnsi="Times New Roman" w:cs="Times New Roman"/>
        </w:rPr>
        <w:t>hood</w:t>
      </w:r>
      <w:r w:rsidR="009C240D" w:rsidRPr="00137E61">
        <w:rPr>
          <w:rFonts w:ascii="Times New Roman" w:hAnsi="Times New Roman" w:cs="Times New Roman"/>
        </w:rPr>
        <w:t xml:space="preserve"> variables. </w:t>
      </w:r>
      <w:r w:rsidR="001229A7">
        <w:rPr>
          <w:rFonts w:ascii="Times New Roman" w:hAnsi="Times New Roman" w:cs="Times New Roman"/>
        </w:rPr>
        <w:t xml:space="preserve">These are also not show for ease of interpretation. </w:t>
      </w:r>
      <w:r w:rsidR="009C240D" w:rsidRPr="00137E61">
        <w:rPr>
          <w:rFonts w:ascii="Times New Roman" w:hAnsi="Times New Roman" w:cs="Times New Roman"/>
        </w:rPr>
        <w:t xml:space="preserve">Postnatal tobacco exposure was </w:t>
      </w:r>
      <w:r w:rsidR="00586045" w:rsidRPr="00137E61">
        <w:rPr>
          <w:rFonts w:ascii="Times New Roman" w:hAnsi="Times New Roman" w:cs="Times New Roman"/>
        </w:rPr>
        <w:t>associated with</w:t>
      </w:r>
      <w:r w:rsidR="00F90917" w:rsidRPr="00137E61">
        <w:rPr>
          <w:rFonts w:ascii="Times New Roman" w:hAnsi="Times New Roman" w:cs="Times New Roman"/>
        </w:rPr>
        <w:t xml:space="preserve"> toddlerhood</w:t>
      </w:r>
      <w:r w:rsidR="00586045" w:rsidRPr="00137E61">
        <w:rPr>
          <w:rFonts w:ascii="Times New Roman" w:hAnsi="Times New Roman" w:cs="Times New Roman"/>
        </w:rPr>
        <w:t xml:space="preserve"> maternal negative mood </w:t>
      </w:r>
      <w:r w:rsidR="00642139">
        <w:rPr>
          <w:rFonts w:ascii="Times New Roman" w:hAnsi="Times New Roman" w:cs="Times New Roman"/>
        </w:rPr>
        <w:t>[</w:t>
      </w:r>
      <w:r w:rsidR="00C24835" w:rsidRPr="00137E61">
        <w:rPr>
          <w:rFonts w:ascii="Times New Roman" w:hAnsi="Times New Roman" w:cs="Times New Roman"/>
        </w:rPr>
        <w:t xml:space="preserve">females: </w:t>
      </w:r>
      <w:r w:rsidR="00586045" w:rsidRPr="00137E61">
        <w:rPr>
          <w:rFonts w:ascii="Times New Roman" w:hAnsi="Times New Roman" w:cs="Times New Roman"/>
          <w:i/>
          <w:iCs/>
        </w:rPr>
        <w:t>r</w:t>
      </w:r>
      <w:r w:rsidR="00586045" w:rsidRPr="00137E61">
        <w:rPr>
          <w:rFonts w:ascii="Times New Roman" w:hAnsi="Times New Roman" w:cs="Times New Roman"/>
        </w:rPr>
        <w:t xml:space="preserve"> = </w:t>
      </w:r>
      <w:r w:rsidR="00F42A60" w:rsidRPr="00137E61">
        <w:rPr>
          <w:rFonts w:ascii="Times New Roman" w:hAnsi="Times New Roman" w:cs="Times New Roman"/>
        </w:rPr>
        <w:t>.</w:t>
      </w:r>
      <w:r w:rsidR="00586045" w:rsidRPr="00137E61">
        <w:rPr>
          <w:rFonts w:ascii="Times New Roman" w:hAnsi="Times New Roman" w:cs="Times New Roman"/>
        </w:rPr>
        <w:t xml:space="preserve">21, </w:t>
      </w:r>
      <w:r w:rsidR="00586045" w:rsidRPr="00137E61">
        <w:rPr>
          <w:rFonts w:ascii="Times New Roman" w:hAnsi="Times New Roman" w:cs="Times New Roman"/>
          <w:i/>
          <w:iCs/>
        </w:rPr>
        <w:t>p</w:t>
      </w:r>
      <w:r w:rsidR="00586045" w:rsidRPr="00137E61">
        <w:rPr>
          <w:rFonts w:ascii="Times New Roman" w:hAnsi="Times New Roman" w:cs="Times New Roman"/>
        </w:rPr>
        <w:t xml:space="preserve"> = .01</w:t>
      </w:r>
      <w:r w:rsidR="00642139">
        <w:rPr>
          <w:rFonts w:ascii="Times New Roman" w:hAnsi="Times New Roman" w:cs="Times New Roman"/>
        </w:rPr>
        <w:t xml:space="preserve">, </w:t>
      </w:r>
      <w:r w:rsidR="00642139" w:rsidRPr="00AA49BB">
        <w:rPr>
          <w:rFonts w:ascii="Times New Roman" w:hAnsi="Times New Roman" w:cs="Times New Roman"/>
          <w:color w:val="000000"/>
        </w:rPr>
        <w:t>95% CI (.</w:t>
      </w:r>
      <w:r w:rsidR="00A12EA5">
        <w:rPr>
          <w:rFonts w:ascii="Times New Roman" w:hAnsi="Times New Roman" w:cs="Times New Roman"/>
          <w:color w:val="000000"/>
        </w:rPr>
        <w:t>04</w:t>
      </w:r>
      <w:r w:rsidR="00642139" w:rsidRPr="00AA49BB">
        <w:rPr>
          <w:rFonts w:ascii="Times New Roman" w:hAnsi="Times New Roman" w:cs="Times New Roman"/>
          <w:color w:val="000000"/>
        </w:rPr>
        <w:t>, .3</w:t>
      </w:r>
      <w:r w:rsidR="00A12EA5">
        <w:rPr>
          <w:rFonts w:ascii="Times New Roman" w:hAnsi="Times New Roman" w:cs="Times New Roman"/>
          <w:color w:val="000000"/>
        </w:rPr>
        <w:t>7</w:t>
      </w:r>
      <w:r w:rsidR="00642139" w:rsidRPr="00AA49BB">
        <w:rPr>
          <w:rFonts w:ascii="Times New Roman" w:hAnsi="Times New Roman" w:cs="Times New Roman"/>
          <w:color w:val="000000"/>
        </w:rPr>
        <w:t>)</w:t>
      </w:r>
      <w:r w:rsidR="00C24835" w:rsidRPr="00137E61">
        <w:rPr>
          <w:rFonts w:ascii="Times New Roman" w:hAnsi="Times New Roman" w:cs="Times New Roman"/>
        </w:rPr>
        <w:t xml:space="preserve">; males: </w:t>
      </w:r>
      <w:r w:rsidR="00C24835" w:rsidRPr="00137E61">
        <w:rPr>
          <w:rFonts w:ascii="Times New Roman" w:hAnsi="Times New Roman" w:cs="Times New Roman"/>
          <w:i/>
          <w:iCs/>
        </w:rPr>
        <w:t>r</w:t>
      </w:r>
      <w:r w:rsidR="00C24835" w:rsidRPr="00137E61">
        <w:rPr>
          <w:rFonts w:ascii="Times New Roman" w:hAnsi="Times New Roman" w:cs="Times New Roman"/>
        </w:rPr>
        <w:t xml:space="preserve"> = .1</w:t>
      </w:r>
      <w:r w:rsidR="00EF5560" w:rsidRPr="00137E61">
        <w:rPr>
          <w:rFonts w:ascii="Times New Roman" w:hAnsi="Times New Roman" w:cs="Times New Roman"/>
        </w:rPr>
        <w:t>7</w:t>
      </w:r>
      <w:r w:rsidR="00C24835" w:rsidRPr="00137E61">
        <w:rPr>
          <w:rFonts w:ascii="Times New Roman" w:hAnsi="Times New Roman" w:cs="Times New Roman"/>
        </w:rPr>
        <w:t xml:space="preserve">, </w:t>
      </w:r>
      <w:r w:rsidR="00C24835" w:rsidRPr="00137E61">
        <w:rPr>
          <w:rFonts w:ascii="Times New Roman" w:hAnsi="Times New Roman" w:cs="Times New Roman"/>
          <w:i/>
          <w:iCs/>
        </w:rPr>
        <w:t>p</w:t>
      </w:r>
      <w:r w:rsidR="00C24835" w:rsidRPr="00137E61">
        <w:rPr>
          <w:rFonts w:ascii="Times New Roman" w:hAnsi="Times New Roman" w:cs="Times New Roman"/>
        </w:rPr>
        <w:t xml:space="preserve"> = .</w:t>
      </w:r>
      <w:r w:rsidR="00EF5560" w:rsidRPr="00137E61">
        <w:rPr>
          <w:rFonts w:ascii="Times New Roman" w:hAnsi="Times New Roman" w:cs="Times New Roman"/>
        </w:rPr>
        <w:t>02</w:t>
      </w:r>
      <w:r w:rsidR="00E11E45">
        <w:rPr>
          <w:rFonts w:ascii="Times New Roman" w:hAnsi="Times New Roman" w:cs="Times New Roman"/>
        </w:rPr>
        <w:t xml:space="preserve">, </w:t>
      </w:r>
      <w:r w:rsidR="00E11E45" w:rsidRPr="00AA49BB">
        <w:rPr>
          <w:rFonts w:ascii="Times New Roman" w:hAnsi="Times New Roman" w:cs="Times New Roman"/>
          <w:color w:val="000000"/>
        </w:rPr>
        <w:t>95% CI (.</w:t>
      </w:r>
      <w:r w:rsidR="00E11E45">
        <w:rPr>
          <w:rFonts w:ascii="Times New Roman" w:hAnsi="Times New Roman" w:cs="Times New Roman"/>
          <w:color w:val="000000"/>
        </w:rPr>
        <w:t>03</w:t>
      </w:r>
      <w:r w:rsidR="00E11E45" w:rsidRPr="00AA49BB">
        <w:rPr>
          <w:rFonts w:ascii="Times New Roman" w:hAnsi="Times New Roman" w:cs="Times New Roman"/>
          <w:color w:val="000000"/>
        </w:rPr>
        <w:t>, .3</w:t>
      </w:r>
      <w:r w:rsidR="00E11E45">
        <w:rPr>
          <w:rFonts w:ascii="Times New Roman" w:hAnsi="Times New Roman" w:cs="Times New Roman"/>
          <w:color w:val="000000"/>
        </w:rPr>
        <w:t>2</w:t>
      </w:r>
      <w:r w:rsidR="00E11E45" w:rsidRPr="00AA49BB">
        <w:rPr>
          <w:rFonts w:ascii="Times New Roman" w:hAnsi="Times New Roman" w:cs="Times New Roman"/>
          <w:color w:val="000000"/>
        </w:rPr>
        <w:t>)</w:t>
      </w:r>
      <w:r w:rsidR="00E11E45">
        <w:rPr>
          <w:rFonts w:ascii="Times New Roman" w:hAnsi="Times New Roman" w:cs="Times New Roman"/>
          <w:color w:val="000000"/>
        </w:rPr>
        <w:t>]</w:t>
      </w:r>
      <w:r w:rsidR="00F90917" w:rsidRPr="00137E61">
        <w:rPr>
          <w:rFonts w:ascii="Times New Roman" w:hAnsi="Times New Roman" w:cs="Times New Roman"/>
        </w:rPr>
        <w:t xml:space="preserve"> but not toddlerhood negative affect </w:t>
      </w:r>
      <w:r w:rsidR="00A12EA5">
        <w:rPr>
          <w:rFonts w:ascii="Times New Roman" w:hAnsi="Times New Roman" w:cs="Times New Roman"/>
        </w:rPr>
        <w:t>[</w:t>
      </w:r>
      <w:r w:rsidR="00C24835" w:rsidRPr="00137E61">
        <w:rPr>
          <w:rFonts w:ascii="Times New Roman" w:hAnsi="Times New Roman" w:cs="Times New Roman"/>
        </w:rPr>
        <w:t xml:space="preserve">females: </w:t>
      </w:r>
      <w:r w:rsidR="00F90917" w:rsidRPr="00137E61">
        <w:rPr>
          <w:rFonts w:ascii="Times New Roman" w:hAnsi="Times New Roman" w:cs="Times New Roman"/>
          <w:i/>
          <w:iCs/>
        </w:rPr>
        <w:t>r</w:t>
      </w:r>
      <w:r w:rsidR="00F90917" w:rsidRPr="00137E61">
        <w:rPr>
          <w:rFonts w:ascii="Times New Roman" w:hAnsi="Times New Roman" w:cs="Times New Roman"/>
        </w:rPr>
        <w:t xml:space="preserve"> = </w:t>
      </w:r>
      <w:r w:rsidR="00F42A60" w:rsidRPr="00137E61">
        <w:rPr>
          <w:rFonts w:ascii="Times New Roman" w:hAnsi="Times New Roman" w:cs="Times New Roman"/>
        </w:rPr>
        <w:t>.1</w:t>
      </w:r>
      <w:r w:rsidR="00F90917" w:rsidRPr="00137E61">
        <w:rPr>
          <w:rFonts w:ascii="Times New Roman" w:hAnsi="Times New Roman" w:cs="Times New Roman"/>
        </w:rPr>
        <w:t xml:space="preserve">1, </w:t>
      </w:r>
      <w:r w:rsidR="00F90917" w:rsidRPr="00137E61">
        <w:rPr>
          <w:rFonts w:ascii="Times New Roman" w:hAnsi="Times New Roman" w:cs="Times New Roman"/>
          <w:i/>
          <w:iCs/>
        </w:rPr>
        <w:t>p</w:t>
      </w:r>
      <w:r w:rsidR="00F90917" w:rsidRPr="00137E61">
        <w:rPr>
          <w:rFonts w:ascii="Times New Roman" w:hAnsi="Times New Roman" w:cs="Times New Roman"/>
        </w:rPr>
        <w:t xml:space="preserve"> = .</w:t>
      </w:r>
      <w:r w:rsidR="00F42A60" w:rsidRPr="00137E61">
        <w:rPr>
          <w:rFonts w:ascii="Times New Roman" w:hAnsi="Times New Roman" w:cs="Times New Roman"/>
        </w:rPr>
        <w:t>14</w:t>
      </w:r>
      <w:r w:rsidR="00A12EA5">
        <w:rPr>
          <w:rFonts w:ascii="Times New Roman" w:hAnsi="Times New Roman" w:cs="Times New Roman"/>
        </w:rPr>
        <w:t xml:space="preserve">, </w:t>
      </w:r>
      <w:r w:rsidR="00A12EA5" w:rsidRPr="00AA49BB">
        <w:rPr>
          <w:rFonts w:ascii="Times New Roman" w:hAnsi="Times New Roman" w:cs="Times New Roman"/>
          <w:color w:val="000000"/>
        </w:rPr>
        <w:t>95% CI (-.</w:t>
      </w:r>
      <w:r w:rsidR="00423FC2">
        <w:rPr>
          <w:rFonts w:ascii="Times New Roman" w:hAnsi="Times New Roman" w:cs="Times New Roman"/>
          <w:color w:val="000000"/>
        </w:rPr>
        <w:t>04</w:t>
      </w:r>
      <w:r w:rsidR="00A12EA5" w:rsidRPr="00AA49BB">
        <w:rPr>
          <w:rFonts w:ascii="Times New Roman" w:hAnsi="Times New Roman" w:cs="Times New Roman"/>
          <w:color w:val="000000"/>
        </w:rPr>
        <w:t>, .</w:t>
      </w:r>
      <w:r w:rsidR="00423FC2">
        <w:rPr>
          <w:rFonts w:ascii="Times New Roman" w:hAnsi="Times New Roman" w:cs="Times New Roman"/>
          <w:color w:val="000000"/>
        </w:rPr>
        <w:t>27</w:t>
      </w:r>
      <w:r w:rsidR="00A12EA5" w:rsidRPr="00AA49BB">
        <w:rPr>
          <w:rFonts w:ascii="Times New Roman" w:hAnsi="Times New Roman" w:cs="Times New Roman"/>
          <w:color w:val="000000"/>
        </w:rPr>
        <w:t>)</w:t>
      </w:r>
      <w:r w:rsidR="00EF5560" w:rsidRPr="00137E61">
        <w:rPr>
          <w:rFonts w:ascii="Times New Roman" w:hAnsi="Times New Roman" w:cs="Times New Roman"/>
        </w:rPr>
        <w:t xml:space="preserve">; males: </w:t>
      </w:r>
      <w:r w:rsidR="00EF5560" w:rsidRPr="00137E61">
        <w:rPr>
          <w:rFonts w:ascii="Times New Roman" w:hAnsi="Times New Roman" w:cs="Times New Roman"/>
          <w:i/>
          <w:iCs/>
        </w:rPr>
        <w:t>r</w:t>
      </w:r>
      <w:r w:rsidR="00EF5560" w:rsidRPr="00137E61">
        <w:rPr>
          <w:rFonts w:ascii="Times New Roman" w:hAnsi="Times New Roman" w:cs="Times New Roman"/>
        </w:rPr>
        <w:t xml:space="preserve"> = .10, </w:t>
      </w:r>
      <w:r w:rsidR="00EF5560" w:rsidRPr="00137E61">
        <w:rPr>
          <w:rFonts w:ascii="Times New Roman" w:hAnsi="Times New Roman" w:cs="Times New Roman"/>
          <w:i/>
          <w:iCs/>
        </w:rPr>
        <w:t>p</w:t>
      </w:r>
      <w:r w:rsidR="00EF5560" w:rsidRPr="00137E61">
        <w:rPr>
          <w:rFonts w:ascii="Times New Roman" w:hAnsi="Times New Roman" w:cs="Times New Roman"/>
        </w:rPr>
        <w:t xml:space="preserve"> = .15</w:t>
      </w:r>
      <w:r w:rsidR="00E11E45">
        <w:rPr>
          <w:rFonts w:ascii="Times New Roman" w:hAnsi="Times New Roman" w:cs="Times New Roman"/>
        </w:rPr>
        <w:t xml:space="preserve">, </w:t>
      </w:r>
      <w:r w:rsidR="00E11E45" w:rsidRPr="00AA49BB">
        <w:rPr>
          <w:rFonts w:ascii="Times New Roman" w:hAnsi="Times New Roman" w:cs="Times New Roman"/>
          <w:color w:val="000000"/>
        </w:rPr>
        <w:t>95% CI (-.</w:t>
      </w:r>
      <w:r w:rsidR="001E13FF">
        <w:rPr>
          <w:rFonts w:ascii="Times New Roman" w:hAnsi="Times New Roman" w:cs="Times New Roman"/>
          <w:color w:val="000000"/>
        </w:rPr>
        <w:t>03</w:t>
      </w:r>
      <w:r w:rsidR="00E11E45" w:rsidRPr="00AA49BB">
        <w:rPr>
          <w:rFonts w:ascii="Times New Roman" w:hAnsi="Times New Roman" w:cs="Times New Roman"/>
          <w:color w:val="000000"/>
        </w:rPr>
        <w:t>, .</w:t>
      </w:r>
      <w:r w:rsidR="001E13FF">
        <w:rPr>
          <w:rFonts w:ascii="Times New Roman" w:hAnsi="Times New Roman" w:cs="Times New Roman"/>
          <w:color w:val="000000"/>
        </w:rPr>
        <w:t>24</w:t>
      </w:r>
      <w:r w:rsidR="00E11E45" w:rsidRPr="00AA49BB">
        <w:rPr>
          <w:rFonts w:ascii="Times New Roman" w:hAnsi="Times New Roman" w:cs="Times New Roman"/>
          <w:color w:val="000000"/>
        </w:rPr>
        <w:t>)</w:t>
      </w:r>
      <w:r w:rsidR="00423FC2">
        <w:rPr>
          <w:rFonts w:ascii="Times New Roman" w:hAnsi="Times New Roman" w:cs="Times New Roman"/>
        </w:rPr>
        <w:t>],</w:t>
      </w:r>
      <w:r w:rsidR="00F42A60" w:rsidRPr="00137E61">
        <w:rPr>
          <w:rFonts w:ascii="Times New Roman" w:hAnsi="Times New Roman" w:cs="Times New Roman"/>
        </w:rPr>
        <w:t xml:space="preserve"> emotion regulation </w:t>
      </w:r>
      <w:r w:rsidR="00423FC2">
        <w:rPr>
          <w:rFonts w:ascii="Times New Roman" w:hAnsi="Times New Roman" w:cs="Times New Roman"/>
        </w:rPr>
        <w:t>[</w:t>
      </w:r>
      <w:r w:rsidR="00EF5560" w:rsidRPr="00137E61">
        <w:rPr>
          <w:rFonts w:ascii="Times New Roman" w:hAnsi="Times New Roman" w:cs="Times New Roman"/>
        </w:rPr>
        <w:t xml:space="preserve">females: </w:t>
      </w:r>
      <w:r w:rsidR="00F42A60" w:rsidRPr="00137E61">
        <w:rPr>
          <w:rFonts w:ascii="Times New Roman" w:hAnsi="Times New Roman" w:cs="Times New Roman"/>
          <w:i/>
          <w:iCs/>
        </w:rPr>
        <w:t>r</w:t>
      </w:r>
      <w:r w:rsidR="00F42A60" w:rsidRPr="00137E61">
        <w:rPr>
          <w:rFonts w:ascii="Times New Roman" w:hAnsi="Times New Roman" w:cs="Times New Roman"/>
        </w:rPr>
        <w:t xml:space="preserve"> = -.08, </w:t>
      </w:r>
      <w:r w:rsidR="00F42A60" w:rsidRPr="00137E61">
        <w:rPr>
          <w:rFonts w:ascii="Times New Roman" w:hAnsi="Times New Roman" w:cs="Times New Roman"/>
          <w:i/>
          <w:iCs/>
        </w:rPr>
        <w:t>p</w:t>
      </w:r>
      <w:r w:rsidR="00F42A60" w:rsidRPr="00137E61">
        <w:rPr>
          <w:rFonts w:ascii="Times New Roman" w:hAnsi="Times New Roman" w:cs="Times New Roman"/>
        </w:rPr>
        <w:t xml:space="preserve"> = .44</w:t>
      </w:r>
      <w:r w:rsidR="00423FC2">
        <w:rPr>
          <w:rFonts w:ascii="Times New Roman" w:hAnsi="Times New Roman" w:cs="Times New Roman"/>
        </w:rPr>
        <w:t xml:space="preserve">, </w:t>
      </w:r>
      <w:r w:rsidR="00423FC2" w:rsidRPr="00AA49BB">
        <w:rPr>
          <w:rFonts w:ascii="Times New Roman" w:hAnsi="Times New Roman" w:cs="Times New Roman"/>
          <w:color w:val="000000"/>
        </w:rPr>
        <w:t>95% CI (-.2</w:t>
      </w:r>
      <w:r w:rsidR="00B4719B">
        <w:rPr>
          <w:rFonts w:ascii="Times New Roman" w:hAnsi="Times New Roman" w:cs="Times New Roman"/>
          <w:color w:val="000000"/>
        </w:rPr>
        <w:t>7</w:t>
      </w:r>
      <w:r w:rsidR="00423FC2" w:rsidRPr="00AA49BB">
        <w:rPr>
          <w:rFonts w:ascii="Times New Roman" w:hAnsi="Times New Roman" w:cs="Times New Roman"/>
          <w:color w:val="000000"/>
        </w:rPr>
        <w:t>, .</w:t>
      </w:r>
      <w:r w:rsidR="00B4719B">
        <w:rPr>
          <w:rFonts w:ascii="Times New Roman" w:hAnsi="Times New Roman" w:cs="Times New Roman"/>
          <w:color w:val="000000"/>
        </w:rPr>
        <w:t>12</w:t>
      </w:r>
      <w:r w:rsidR="00423FC2" w:rsidRPr="00AA49BB">
        <w:rPr>
          <w:rFonts w:ascii="Times New Roman" w:hAnsi="Times New Roman" w:cs="Times New Roman"/>
          <w:color w:val="000000"/>
        </w:rPr>
        <w:t>)</w:t>
      </w:r>
      <w:r w:rsidR="00EF5560" w:rsidRPr="00137E61">
        <w:rPr>
          <w:rFonts w:ascii="Times New Roman" w:hAnsi="Times New Roman" w:cs="Times New Roman"/>
        </w:rPr>
        <w:t xml:space="preserve">; males: </w:t>
      </w:r>
      <w:r w:rsidR="00EF5560" w:rsidRPr="00137E61">
        <w:rPr>
          <w:rFonts w:ascii="Times New Roman" w:hAnsi="Times New Roman" w:cs="Times New Roman"/>
          <w:i/>
          <w:iCs/>
        </w:rPr>
        <w:t>r</w:t>
      </w:r>
      <w:r w:rsidR="00EF5560" w:rsidRPr="00137E61">
        <w:rPr>
          <w:rFonts w:ascii="Times New Roman" w:hAnsi="Times New Roman" w:cs="Times New Roman"/>
        </w:rPr>
        <w:t xml:space="preserve"> = </w:t>
      </w:r>
      <w:r w:rsidR="00232143" w:rsidRPr="00137E61">
        <w:rPr>
          <w:rFonts w:ascii="Times New Roman" w:hAnsi="Times New Roman" w:cs="Times New Roman"/>
        </w:rPr>
        <w:t>-</w:t>
      </w:r>
      <w:r w:rsidR="00EF5560" w:rsidRPr="00137E61">
        <w:rPr>
          <w:rFonts w:ascii="Times New Roman" w:hAnsi="Times New Roman" w:cs="Times New Roman"/>
        </w:rPr>
        <w:t>.</w:t>
      </w:r>
      <w:r w:rsidR="00232143" w:rsidRPr="00137E61">
        <w:rPr>
          <w:rFonts w:ascii="Times New Roman" w:hAnsi="Times New Roman" w:cs="Times New Roman"/>
        </w:rPr>
        <w:t>06</w:t>
      </w:r>
      <w:r w:rsidR="00EF5560" w:rsidRPr="00137E61">
        <w:rPr>
          <w:rFonts w:ascii="Times New Roman" w:hAnsi="Times New Roman" w:cs="Times New Roman"/>
        </w:rPr>
        <w:t xml:space="preserve">, </w:t>
      </w:r>
      <w:r w:rsidR="00EF5560" w:rsidRPr="00137E61">
        <w:rPr>
          <w:rFonts w:ascii="Times New Roman" w:hAnsi="Times New Roman" w:cs="Times New Roman"/>
          <w:i/>
          <w:iCs/>
        </w:rPr>
        <w:t>p</w:t>
      </w:r>
      <w:r w:rsidR="00EF5560" w:rsidRPr="00137E61">
        <w:rPr>
          <w:rFonts w:ascii="Times New Roman" w:hAnsi="Times New Roman" w:cs="Times New Roman"/>
        </w:rPr>
        <w:t xml:space="preserve"> = .</w:t>
      </w:r>
      <w:r w:rsidR="00232143" w:rsidRPr="00137E61">
        <w:rPr>
          <w:rFonts w:ascii="Times New Roman" w:hAnsi="Times New Roman" w:cs="Times New Roman"/>
        </w:rPr>
        <w:t>46</w:t>
      </w:r>
      <w:r w:rsidR="001E13FF">
        <w:rPr>
          <w:rFonts w:ascii="Times New Roman" w:hAnsi="Times New Roman" w:cs="Times New Roman"/>
        </w:rPr>
        <w:t xml:space="preserve">, </w:t>
      </w:r>
      <w:r w:rsidR="001E13FF" w:rsidRPr="00AA49BB">
        <w:rPr>
          <w:rFonts w:ascii="Times New Roman" w:hAnsi="Times New Roman" w:cs="Times New Roman"/>
          <w:color w:val="000000"/>
        </w:rPr>
        <w:t>95% CI (-.20, .</w:t>
      </w:r>
      <w:r w:rsidR="001E13FF">
        <w:rPr>
          <w:rFonts w:ascii="Times New Roman" w:hAnsi="Times New Roman" w:cs="Times New Roman"/>
          <w:color w:val="000000"/>
        </w:rPr>
        <w:t>09</w:t>
      </w:r>
      <w:r w:rsidR="001E13FF" w:rsidRPr="00AA49BB">
        <w:rPr>
          <w:rFonts w:ascii="Times New Roman" w:hAnsi="Times New Roman" w:cs="Times New Roman"/>
          <w:color w:val="000000"/>
        </w:rPr>
        <w:t>)</w:t>
      </w:r>
      <w:r w:rsidR="00B4719B">
        <w:rPr>
          <w:rFonts w:ascii="Times New Roman" w:hAnsi="Times New Roman" w:cs="Times New Roman"/>
        </w:rPr>
        <w:t>]</w:t>
      </w:r>
      <w:r w:rsidR="00F42A60" w:rsidRPr="00137E61">
        <w:rPr>
          <w:rFonts w:ascii="Times New Roman" w:hAnsi="Times New Roman" w:cs="Times New Roman"/>
        </w:rPr>
        <w:t xml:space="preserve">, or </w:t>
      </w:r>
      <w:r w:rsidR="00F42A60" w:rsidRPr="00137E61">
        <w:rPr>
          <w:rFonts w:ascii="Times New Roman" w:hAnsi="Times New Roman" w:cs="Times New Roman"/>
        </w:rPr>
        <w:lastRenderedPageBreak/>
        <w:t>externalizing problems (</w:t>
      </w:r>
      <w:r w:rsidR="00232143" w:rsidRPr="00137E61">
        <w:rPr>
          <w:rFonts w:ascii="Times New Roman" w:hAnsi="Times New Roman" w:cs="Times New Roman"/>
        </w:rPr>
        <w:t xml:space="preserve">females: </w:t>
      </w:r>
      <w:r w:rsidR="00F42A60" w:rsidRPr="00137E61">
        <w:rPr>
          <w:rFonts w:ascii="Times New Roman" w:hAnsi="Times New Roman" w:cs="Times New Roman"/>
          <w:i/>
          <w:iCs/>
        </w:rPr>
        <w:t>r</w:t>
      </w:r>
      <w:r w:rsidR="00F42A60" w:rsidRPr="00137E61">
        <w:rPr>
          <w:rFonts w:ascii="Times New Roman" w:hAnsi="Times New Roman" w:cs="Times New Roman"/>
        </w:rPr>
        <w:t xml:space="preserve"> = </w:t>
      </w:r>
      <w:r w:rsidR="00C24835" w:rsidRPr="00137E61">
        <w:rPr>
          <w:rFonts w:ascii="Times New Roman" w:hAnsi="Times New Roman" w:cs="Times New Roman"/>
        </w:rPr>
        <w:t>.1</w:t>
      </w:r>
      <w:r w:rsidR="00F42A60" w:rsidRPr="00137E61">
        <w:rPr>
          <w:rFonts w:ascii="Times New Roman" w:hAnsi="Times New Roman" w:cs="Times New Roman"/>
        </w:rPr>
        <w:t xml:space="preserve">1, </w:t>
      </w:r>
      <w:r w:rsidR="00F42A60" w:rsidRPr="00137E61">
        <w:rPr>
          <w:rFonts w:ascii="Times New Roman" w:hAnsi="Times New Roman" w:cs="Times New Roman"/>
          <w:i/>
          <w:iCs/>
        </w:rPr>
        <w:t>p</w:t>
      </w:r>
      <w:r w:rsidR="00F42A60" w:rsidRPr="00137E61">
        <w:rPr>
          <w:rFonts w:ascii="Times New Roman" w:hAnsi="Times New Roman" w:cs="Times New Roman"/>
        </w:rPr>
        <w:t xml:space="preserve"> = .0</w:t>
      </w:r>
      <w:r w:rsidR="00C24835" w:rsidRPr="00137E61">
        <w:rPr>
          <w:rFonts w:ascii="Times New Roman" w:hAnsi="Times New Roman" w:cs="Times New Roman"/>
        </w:rPr>
        <w:t>5</w:t>
      </w:r>
      <w:r w:rsidR="00B4719B">
        <w:rPr>
          <w:rFonts w:ascii="Times New Roman" w:hAnsi="Times New Roman" w:cs="Times New Roman"/>
        </w:rPr>
        <w:t xml:space="preserve">, </w:t>
      </w:r>
      <w:r w:rsidR="00B4719B" w:rsidRPr="00AA49BB">
        <w:rPr>
          <w:rFonts w:ascii="Times New Roman" w:hAnsi="Times New Roman" w:cs="Times New Roman"/>
          <w:color w:val="000000"/>
        </w:rPr>
        <w:t>95% CI (-</w:t>
      </w:r>
      <w:r w:rsidR="00B4719B">
        <w:rPr>
          <w:rFonts w:ascii="Times New Roman" w:hAnsi="Times New Roman" w:cs="Times New Roman"/>
          <w:color w:val="000000"/>
        </w:rPr>
        <w:t>.04</w:t>
      </w:r>
      <w:r w:rsidR="00B4719B" w:rsidRPr="00AA49BB">
        <w:rPr>
          <w:rFonts w:ascii="Times New Roman" w:hAnsi="Times New Roman" w:cs="Times New Roman"/>
          <w:color w:val="000000"/>
        </w:rPr>
        <w:t>, .</w:t>
      </w:r>
      <w:r w:rsidR="00E11E45">
        <w:rPr>
          <w:rFonts w:ascii="Times New Roman" w:hAnsi="Times New Roman" w:cs="Times New Roman"/>
          <w:color w:val="000000"/>
        </w:rPr>
        <w:t>27</w:t>
      </w:r>
      <w:r w:rsidR="00B4719B" w:rsidRPr="00AA49BB">
        <w:rPr>
          <w:rFonts w:ascii="Times New Roman" w:hAnsi="Times New Roman" w:cs="Times New Roman"/>
          <w:color w:val="000000"/>
        </w:rPr>
        <w:t>)</w:t>
      </w:r>
      <w:r w:rsidR="00232143" w:rsidRPr="00137E61">
        <w:rPr>
          <w:rFonts w:ascii="Times New Roman" w:hAnsi="Times New Roman" w:cs="Times New Roman"/>
        </w:rPr>
        <w:t xml:space="preserve">; males: </w:t>
      </w:r>
      <w:r w:rsidR="00232143" w:rsidRPr="00137E61">
        <w:rPr>
          <w:rFonts w:ascii="Times New Roman" w:hAnsi="Times New Roman" w:cs="Times New Roman"/>
          <w:i/>
          <w:iCs/>
        </w:rPr>
        <w:t>r</w:t>
      </w:r>
      <w:r w:rsidR="00232143" w:rsidRPr="00137E61">
        <w:rPr>
          <w:rFonts w:ascii="Times New Roman" w:hAnsi="Times New Roman" w:cs="Times New Roman"/>
        </w:rPr>
        <w:t xml:space="preserve"> = .1</w:t>
      </w:r>
      <w:r w:rsidR="00EF4AA1" w:rsidRPr="00137E61">
        <w:rPr>
          <w:rFonts w:ascii="Times New Roman" w:hAnsi="Times New Roman" w:cs="Times New Roman"/>
        </w:rPr>
        <w:t>0</w:t>
      </w:r>
      <w:r w:rsidR="00232143" w:rsidRPr="00137E61">
        <w:rPr>
          <w:rFonts w:ascii="Times New Roman" w:hAnsi="Times New Roman" w:cs="Times New Roman"/>
        </w:rPr>
        <w:t xml:space="preserve">, </w:t>
      </w:r>
      <w:r w:rsidR="00232143" w:rsidRPr="00137E61">
        <w:rPr>
          <w:rFonts w:ascii="Times New Roman" w:hAnsi="Times New Roman" w:cs="Times New Roman"/>
          <w:i/>
          <w:iCs/>
        </w:rPr>
        <w:t>p</w:t>
      </w:r>
      <w:r w:rsidR="00232143" w:rsidRPr="00137E61">
        <w:rPr>
          <w:rFonts w:ascii="Times New Roman" w:hAnsi="Times New Roman" w:cs="Times New Roman"/>
        </w:rPr>
        <w:t xml:space="preserve"> = .14</w:t>
      </w:r>
      <w:r w:rsidR="00E11E45">
        <w:rPr>
          <w:rFonts w:ascii="Times New Roman" w:hAnsi="Times New Roman" w:cs="Times New Roman"/>
        </w:rPr>
        <w:t xml:space="preserve">, </w:t>
      </w:r>
      <w:r w:rsidR="00E11E45" w:rsidRPr="00AA49BB">
        <w:rPr>
          <w:rFonts w:ascii="Times New Roman" w:hAnsi="Times New Roman" w:cs="Times New Roman"/>
          <w:color w:val="000000"/>
        </w:rPr>
        <w:t>95% CI (-.</w:t>
      </w:r>
      <w:r w:rsidR="0059288A">
        <w:rPr>
          <w:rFonts w:ascii="Times New Roman" w:hAnsi="Times New Roman" w:cs="Times New Roman"/>
          <w:color w:val="000000"/>
        </w:rPr>
        <w:t>03</w:t>
      </w:r>
      <w:r w:rsidR="00E11E45" w:rsidRPr="00AA49BB">
        <w:rPr>
          <w:rFonts w:ascii="Times New Roman" w:hAnsi="Times New Roman" w:cs="Times New Roman"/>
          <w:color w:val="000000"/>
        </w:rPr>
        <w:t>, .</w:t>
      </w:r>
      <w:r w:rsidR="0059288A">
        <w:rPr>
          <w:rFonts w:ascii="Times New Roman" w:hAnsi="Times New Roman" w:cs="Times New Roman"/>
          <w:color w:val="000000"/>
        </w:rPr>
        <w:t>24</w:t>
      </w:r>
      <w:r w:rsidR="00E11E45" w:rsidRPr="00AA49BB">
        <w:rPr>
          <w:rFonts w:ascii="Times New Roman" w:hAnsi="Times New Roman" w:cs="Times New Roman"/>
          <w:color w:val="000000"/>
        </w:rPr>
        <w:t>)</w:t>
      </w:r>
      <w:r w:rsidR="00E11E45">
        <w:rPr>
          <w:rFonts w:ascii="Times New Roman" w:hAnsi="Times New Roman" w:cs="Times New Roman"/>
        </w:rPr>
        <w:t>]</w:t>
      </w:r>
      <w:r w:rsidR="00F42A60" w:rsidRPr="00137E61">
        <w:rPr>
          <w:rFonts w:ascii="Times New Roman" w:hAnsi="Times New Roman" w:cs="Times New Roman"/>
        </w:rPr>
        <w:t>.</w:t>
      </w:r>
    </w:p>
    <w:p w14:paraId="266F7ABC" w14:textId="77777777" w:rsidR="00A7200F" w:rsidRDefault="00A7200F">
      <w:pPr>
        <w:sectPr w:rsidR="00A720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79B904F6" w14:textId="1CA0B1B0" w:rsidR="00A7200F" w:rsidRPr="00A7200F" w:rsidRDefault="00A7200F" w:rsidP="00A720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Supplemental Figure 1</w:t>
      </w:r>
    </w:p>
    <w:p w14:paraId="4A005A56" w14:textId="1324273E" w:rsidR="00A7200F" w:rsidRPr="004F368F" w:rsidRDefault="00A7200F" w:rsidP="00A72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Multigroup structural model with all indirect paths and covariances </w:t>
      </w:r>
    </w:p>
    <w:p w14:paraId="4869C7B7" w14:textId="2B41189A" w:rsidR="00A7200F" w:rsidRDefault="00A7200F" w:rsidP="00A7200F">
      <w:r>
        <w:rPr>
          <w:noProof/>
        </w:rPr>
        <w:drawing>
          <wp:inline distT="0" distB="0" distL="0" distR="0" wp14:anchorId="7B5988A2" wp14:editId="37B7AE26">
            <wp:extent cx="8229600" cy="4629150"/>
            <wp:effectExtent l="0" t="0" r="0" b="6350"/>
            <wp:docPr id="951177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77002" name="Picture 9511770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8B2E" w14:textId="563D728B" w:rsidR="00A7200F" w:rsidRPr="000C7963" w:rsidRDefault="00A7200F" w:rsidP="00A7200F">
      <w:pPr>
        <w:rPr>
          <w:rFonts w:ascii="Times New Roman" w:hAnsi="Times New Roman" w:cs="Times New Roman"/>
        </w:rPr>
      </w:pPr>
      <w:r w:rsidRPr="000C7963">
        <w:rPr>
          <w:rFonts w:ascii="Times New Roman" w:hAnsi="Times New Roman" w:cs="Times New Roman"/>
          <w:i/>
          <w:iCs/>
        </w:rPr>
        <w:t>Note</w:t>
      </w:r>
      <w:r w:rsidRPr="000C796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PTE= Prenatal tobacco exposure. PTCE = Prenatal tobacco, cannabis co-exposure, MR = Maternal report, TR = Teacher report, RSA = </w:t>
      </w:r>
      <w:r w:rsidRPr="000177A3">
        <w:rPr>
          <w:rFonts w:ascii="Times New Roman" w:hAnsi="Times New Roman" w:cs="Times New Roman"/>
        </w:rPr>
        <w:t>Respiratory Sinus Arrhythmia</w:t>
      </w:r>
      <w:r>
        <w:rPr>
          <w:rFonts w:ascii="Times New Roman" w:hAnsi="Times New Roman" w:cs="Times New Roman"/>
        </w:rPr>
        <w:t xml:space="preserve">. </w:t>
      </w:r>
      <w:r w:rsidRPr="000C7963">
        <w:rPr>
          <w:rFonts w:ascii="Times New Roman" w:hAnsi="Times New Roman" w:cs="Times New Roman"/>
        </w:rPr>
        <w:t>Female standardized coefficients are presented first.</w:t>
      </w:r>
      <w:r>
        <w:rPr>
          <w:rFonts w:ascii="Times New Roman" w:hAnsi="Times New Roman" w:cs="Times New Roman"/>
        </w:rPr>
        <w:t xml:space="preserve"> Direct paths from the prenatal variables are </w:t>
      </w:r>
      <w:r>
        <w:rPr>
          <w:rFonts w:ascii="Times New Roman" w:hAnsi="Times New Roman" w:cs="Times New Roman"/>
        </w:rPr>
        <w:lastRenderedPageBreak/>
        <w:t xml:space="preserve">included but are not show for ease of interpretation. A multigroup model was used to allow for partial measurement </w:t>
      </w:r>
      <w:proofErr w:type="spellStart"/>
      <w:r>
        <w:rPr>
          <w:rFonts w:ascii="Times New Roman" w:hAnsi="Times New Roman" w:cs="Times New Roman"/>
        </w:rPr>
        <w:t>noninvariance</w:t>
      </w:r>
      <w:proofErr w:type="spellEnd"/>
      <w:r>
        <w:rPr>
          <w:rFonts w:ascii="Times New Roman" w:hAnsi="Times New Roman" w:cs="Times New Roman"/>
        </w:rPr>
        <w:t xml:space="preserve"> of the measurement model across child sex. </w:t>
      </w:r>
      <w:r w:rsidRPr="000C7963">
        <w:rPr>
          <w:rFonts w:ascii="Times New Roman" w:hAnsi="Times New Roman" w:cs="Times New Roman"/>
        </w:rPr>
        <w:t xml:space="preserve">All paths are constrained to be equal across child sex. </w:t>
      </w:r>
      <w:r>
        <w:rPr>
          <w:rFonts w:ascii="Times New Roman" w:hAnsi="Times New Roman" w:cs="Times New Roman"/>
        </w:rPr>
        <w:t>S</w:t>
      </w:r>
      <w:r w:rsidRPr="000C7963">
        <w:rPr>
          <w:rFonts w:ascii="Times New Roman" w:hAnsi="Times New Roman" w:cs="Times New Roman"/>
        </w:rPr>
        <w:t>tandardized estimates differ across child sex due to differences in the variances for the indicators in each group.</w:t>
      </w:r>
      <w:r>
        <w:rPr>
          <w:rFonts w:ascii="Times New Roman" w:hAnsi="Times New Roman" w:cs="Times New Roman"/>
        </w:rPr>
        <w:t xml:space="preserve"> </w:t>
      </w:r>
    </w:p>
    <w:p w14:paraId="5FAF28F0" w14:textId="391E69B3" w:rsidR="006343EC" w:rsidRPr="006343EC" w:rsidRDefault="006343EC" w:rsidP="006343EC">
      <w:pPr>
        <w:spacing w:line="480" w:lineRule="auto"/>
        <w:ind w:firstLine="720"/>
      </w:pPr>
      <w:r w:rsidRPr="006343EC">
        <w:t xml:space="preserve"> </w:t>
      </w:r>
    </w:p>
    <w:sectPr w:rsidR="006343EC" w:rsidRPr="006343EC" w:rsidSect="00A7200F">
      <w:pgSz w:w="15840" w:h="1222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EC"/>
    <w:rsid w:val="00031322"/>
    <w:rsid w:val="000A6E38"/>
    <w:rsid w:val="001229A7"/>
    <w:rsid w:val="00137E61"/>
    <w:rsid w:val="00156C9B"/>
    <w:rsid w:val="001E13FF"/>
    <w:rsid w:val="001F3164"/>
    <w:rsid w:val="002022F4"/>
    <w:rsid w:val="00232143"/>
    <w:rsid w:val="002D3B70"/>
    <w:rsid w:val="002D4495"/>
    <w:rsid w:val="00354FF7"/>
    <w:rsid w:val="003968B5"/>
    <w:rsid w:val="0041611C"/>
    <w:rsid w:val="00423FC2"/>
    <w:rsid w:val="004330E3"/>
    <w:rsid w:val="004529E0"/>
    <w:rsid w:val="004955FF"/>
    <w:rsid w:val="004D415E"/>
    <w:rsid w:val="004F3898"/>
    <w:rsid w:val="004F64BF"/>
    <w:rsid w:val="00525211"/>
    <w:rsid w:val="00531653"/>
    <w:rsid w:val="00586045"/>
    <w:rsid w:val="00591776"/>
    <w:rsid w:val="0059288A"/>
    <w:rsid w:val="005E359B"/>
    <w:rsid w:val="006241F4"/>
    <w:rsid w:val="006343EC"/>
    <w:rsid w:val="00642139"/>
    <w:rsid w:val="006643C0"/>
    <w:rsid w:val="00674431"/>
    <w:rsid w:val="0073364A"/>
    <w:rsid w:val="007E41FD"/>
    <w:rsid w:val="008142C9"/>
    <w:rsid w:val="0087766E"/>
    <w:rsid w:val="008D3321"/>
    <w:rsid w:val="00931042"/>
    <w:rsid w:val="009C240D"/>
    <w:rsid w:val="009C7610"/>
    <w:rsid w:val="00A12EA5"/>
    <w:rsid w:val="00A35DC2"/>
    <w:rsid w:val="00A7200F"/>
    <w:rsid w:val="00AA49BB"/>
    <w:rsid w:val="00AE6FF8"/>
    <w:rsid w:val="00AF0F40"/>
    <w:rsid w:val="00B4719B"/>
    <w:rsid w:val="00B544BE"/>
    <w:rsid w:val="00B616D8"/>
    <w:rsid w:val="00BA344A"/>
    <w:rsid w:val="00BA5EBA"/>
    <w:rsid w:val="00C24835"/>
    <w:rsid w:val="00C56444"/>
    <w:rsid w:val="00CA00AD"/>
    <w:rsid w:val="00D31516"/>
    <w:rsid w:val="00D529E1"/>
    <w:rsid w:val="00DC1B13"/>
    <w:rsid w:val="00DE5890"/>
    <w:rsid w:val="00DF15A4"/>
    <w:rsid w:val="00DF4FB0"/>
    <w:rsid w:val="00E001FE"/>
    <w:rsid w:val="00E11E45"/>
    <w:rsid w:val="00E619B1"/>
    <w:rsid w:val="00E837E5"/>
    <w:rsid w:val="00E906ED"/>
    <w:rsid w:val="00EF4AA1"/>
    <w:rsid w:val="00EF5560"/>
    <w:rsid w:val="00F01E1B"/>
    <w:rsid w:val="00F22479"/>
    <w:rsid w:val="00F42A60"/>
    <w:rsid w:val="00F548C8"/>
    <w:rsid w:val="00F90917"/>
    <w:rsid w:val="00FA2248"/>
    <w:rsid w:val="00FB7081"/>
    <w:rsid w:val="00F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38F48"/>
  <w15:chartTrackingRefBased/>
  <w15:docId w15:val="{F118F36E-BB78-944F-8310-BEF9F6A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Kristin Jane</dc:creator>
  <cp:keywords/>
  <dc:description/>
  <cp:lastModifiedBy>Perry, Kristin Jane</cp:lastModifiedBy>
  <cp:revision>2</cp:revision>
  <dcterms:created xsi:type="dcterms:W3CDTF">2025-11-07T17:25:00Z</dcterms:created>
  <dcterms:modified xsi:type="dcterms:W3CDTF">2025-11-07T17:25:00Z</dcterms:modified>
</cp:coreProperties>
</file>