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7EC" w:rsidRPr="0021622D" w:rsidRDefault="00CA07EC" w:rsidP="00CF04CC">
      <w:pPr>
        <w:spacing w:before="240" w:line="360" w:lineRule="auto"/>
        <w:rPr>
          <w:rFonts w:ascii="Times New Roman" w:hAnsi="Times New Roman"/>
          <w:b/>
          <w:color w:val="000000" w:themeColor="text1"/>
          <w:sz w:val="24"/>
          <w:szCs w:val="24"/>
          <w:lang w:val="en-GB"/>
        </w:rPr>
      </w:pPr>
      <w:r w:rsidRPr="0021622D">
        <w:rPr>
          <w:rFonts w:ascii="Times New Roman" w:hAnsi="Times New Roman"/>
          <w:b/>
          <w:color w:val="000000" w:themeColor="text1"/>
          <w:sz w:val="24"/>
          <w:szCs w:val="24"/>
          <w:lang w:val="en-GB"/>
        </w:rPr>
        <w:t>Supplemental Figures and Tables</w:t>
      </w:r>
    </w:p>
    <w:p w:rsidR="00CA07EC" w:rsidRPr="0021622D" w:rsidRDefault="00CA07EC" w:rsidP="00CF04CC">
      <w:pPr>
        <w:spacing w:before="240" w:line="360" w:lineRule="auto"/>
        <w:rPr>
          <w:rFonts w:ascii="Times New Roman" w:hAnsi="Times New Roman"/>
          <w:b/>
          <w:color w:val="000000" w:themeColor="text1"/>
          <w:sz w:val="24"/>
          <w:szCs w:val="24"/>
          <w:lang w:val="en-GB"/>
        </w:rPr>
      </w:pPr>
      <w:r w:rsidRPr="0021622D">
        <w:rPr>
          <w:rFonts w:ascii="Times New Roman" w:hAnsi="Times New Roman"/>
          <w:b/>
          <w:color w:val="000000" w:themeColor="text1"/>
          <w:sz w:val="24"/>
          <w:szCs w:val="24"/>
          <w:lang w:val="en-GB"/>
        </w:rPr>
        <w:t xml:space="preserve">Supplemental Figure 1. </w:t>
      </w:r>
    </w:p>
    <w:p w:rsidR="00CF04CC" w:rsidRPr="0021622D" w:rsidRDefault="00CF04CC" w:rsidP="00CF04CC">
      <w:pPr>
        <w:spacing w:before="240" w:line="360" w:lineRule="auto"/>
        <w:rPr>
          <w:rFonts w:ascii="Times New Roman" w:hAnsi="Times New Roman"/>
          <w:sz w:val="24"/>
          <w:szCs w:val="24"/>
          <w:lang w:val="en-GB"/>
        </w:rPr>
      </w:pPr>
    </w:p>
    <w:p w:rsidR="00CF04CC" w:rsidRPr="0021622D" w:rsidRDefault="00CF04CC" w:rsidP="00CF04CC">
      <w:pPr>
        <w:spacing w:before="240" w:line="360" w:lineRule="auto"/>
        <w:rPr>
          <w:rFonts w:ascii="Times New Roman" w:hAnsi="Times New Roman"/>
          <w:sz w:val="24"/>
          <w:szCs w:val="24"/>
        </w:rPr>
      </w:pPr>
      <w:r w:rsidRPr="0021622D">
        <w:rPr>
          <w:rFonts w:ascii="Times New Roman" w:hAnsi="Times New Roman"/>
          <w:b/>
          <w:noProof/>
          <w:sz w:val="24"/>
          <w:szCs w:val="24"/>
          <w:lang w:eastAsia="nl-NL"/>
        </w:rPr>
        <w:drawing>
          <wp:inline distT="0" distB="0" distL="0" distR="0" wp14:anchorId="5A38E5AB" wp14:editId="53CFAC75">
            <wp:extent cx="5760720" cy="4209415"/>
            <wp:effectExtent l="0" t="0" r="0" b="635"/>
            <wp:docPr id="2" name="Picture 2" descr="G:\divg\GMZ\Research\Katharina\A2\Suppl Fig 2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ivg\GMZ\Research\Katharina\A2\Suppl Fig 2 v2.tif"/>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4209415"/>
                    </a:xfrm>
                    <a:prstGeom prst="rect">
                      <a:avLst/>
                    </a:prstGeom>
                    <a:noFill/>
                    <a:ln>
                      <a:noFill/>
                    </a:ln>
                  </pic:spPr>
                </pic:pic>
              </a:graphicData>
            </a:graphic>
          </wp:inline>
        </w:drawing>
      </w:r>
    </w:p>
    <w:p w:rsidR="00CF04CC" w:rsidRPr="0021622D" w:rsidRDefault="00CF04CC" w:rsidP="00CF04CC">
      <w:pPr>
        <w:spacing w:before="240" w:line="360" w:lineRule="auto"/>
        <w:rPr>
          <w:rFonts w:ascii="Times New Roman" w:hAnsi="Times New Roman"/>
          <w:sz w:val="24"/>
          <w:szCs w:val="24"/>
        </w:rPr>
      </w:pPr>
    </w:p>
    <w:p w:rsidR="00CA07EC" w:rsidRPr="0021622D" w:rsidRDefault="00CA07EC" w:rsidP="00CF04CC">
      <w:pPr>
        <w:spacing w:before="240" w:line="360" w:lineRule="auto"/>
        <w:rPr>
          <w:rFonts w:ascii="Times New Roman" w:hAnsi="Times New Roman"/>
          <w:color w:val="000000" w:themeColor="text1"/>
          <w:sz w:val="24"/>
          <w:szCs w:val="24"/>
          <w:lang w:val="en-GB"/>
        </w:rPr>
      </w:pPr>
      <w:r w:rsidRPr="0021622D">
        <w:rPr>
          <w:rFonts w:ascii="Times New Roman" w:hAnsi="Times New Roman"/>
          <w:sz w:val="24"/>
          <w:szCs w:val="24"/>
          <w:lang w:val="en-GB"/>
        </w:rPr>
        <w:t xml:space="preserve">Additional data on total phospholipid levels, sorted by phospholipid class. Upper row: phosphatidic acid (PA), </w:t>
      </w:r>
      <w:proofErr w:type="spellStart"/>
      <w:r w:rsidRPr="0021622D">
        <w:rPr>
          <w:rFonts w:ascii="Times New Roman" w:hAnsi="Times New Roman"/>
          <w:sz w:val="24"/>
          <w:szCs w:val="24"/>
          <w:lang w:val="en-GB"/>
        </w:rPr>
        <w:t>phosphatidylglycerol</w:t>
      </w:r>
      <w:proofErr w:type="spellEnd"/>
      <w:r w:rsidRPr="0021622D">
        <w:rPr>
          <w:rFonts w:ascii="Times New Roman" w:hAnsi="Times New Roman"/>
          <w:sz w:val="24"/>
          <w:szCs w:val="24"/>
          <w:lang w:val="en-GB"/>
        </w:rPr>
        <w:t xml:space="preserve"> (PG), </w:t>
      </w:r>
      <w:proofErr w:type="spellStart"/>
      <w:r w:rsidRPr="0021622D">
        <w:rPr>
          <w:rFonts w:ascii="Times New Roman" w:hAnsi="Times New Roman"/>
          <w:sz w:val="24"/>
          <w:szCs w:val="24"/>
          <w:lang w:val="en-GB"/>
        </w:rPr>
        <w:t>cardiolipin</w:t>
      </w:r>
      <w:proofErr w:type="spellEnd"/>
      <w:r w:rsidRPr="0021622D">
        <w:rPr>
          <w:rFonts w:ascii="Times New Roman" w:hAnsi="Times New Roman"/>
          <w:sz w:val="24"/>
          <w:szCs w:val="24"/>
          <w:lang w:val="en-GB"/>
        </w:rPr>
        <w:t xml:space="preserve"> (CL), </w:t>
      </w:r>
      <w:proofErr w:type="spellStart"/>
      <w:r w:rsidRPr="0021622D">
        <w:rPr>
          <w:rFonts w:ascii="Times New Roman" w:hAnsi="Times New Roman"/>
          <w:sz w:val="24"/>
          <w:szCs w:val="24"/>
          <w:lang w:val="en-GB"/>
        </w:rPr>
        <w:t>bis</w:t>
      </w:r>
      <w:proofErr w:type="spellEnd"/>
      <w:r w:rsidRPr="0021622D">
        <w:rPr>
          <w:rFonts w:ascii="Times New Roman" w:hAnsi="Times New Roman"/>
          <w:sz w:val="24"/>
          <w:szCs w:val="24"/>
          <w:lang w:val="en-GB"/>
        </w:rPr>
        <w:t>(</w:t>
      </w:r>
      <w:proofErr w:type="spellStart"/>
      <w:r w:rsidRPr="0021622D">
        <w:rPr>
          <w:rFonts w:ascii="Times New Roman" w:hAnsi="Times New Roman"/>
          <w:sz w:val="24"/>
          <w:szCs w:val="24"/>
          <w:lang w:val="en-GB"/>
        </w:rPr>
        <w:t>monoacylglycero</w:t>
      </w:r>
      <w:proofErr w:type="spellEnd"/>
      <w:r w:rsidRPr="0021622D">
        <w:rPr>
          <w:rFonts w:ascii="Times New Roman" w:hAnsi="Times New Roman"/>
          <w:sz w:val="24"/>
          <w:szCs w:val="24"/>
          <w:lang w:val="en-GB"/>
        </w:rPr>
        <w:t xml:space="preserve">)phosphate (BMP). Middle row: </w:t>
      </w:r>
      <w:proofErr w:type="spellStart"/>
      <w:r w:rsidRPr="0021622D">
        <w:rPr>
          <w:rFonts w:ascii="Times New Roman" w:hAnsi="Times New Roman"/>
          <w:sz w:val="24"/>
          <w:szCs w:val="24"/>
          <w:lang w:val="en-GB"/>
        </w:rPr>
        <w:t>monolyso-cardiolipin</w:t>
      </w:r>
      <w:proofErr w:type="spellEnd"/>
      <w:r w:rsidRPr="0021622D">
        <w:rPr>
          <w:rFonts w:ascii="Times New Roman" w:hAnsi="Times New Roman"/>
          <w:sz w:val="24"/>
          <w:szCs w:val="24"/>
          <w:lang w:val="en-GB"/>
        </w:rPr>
        <w:t xml:space="preserve"> (</w:t>
      </w:r>
      <w:proofErr w:type="spellStart"/>
      <w:r w:rsidRPr="0021622D">
        <w:rPr>
          <w:rFonts w:ascii="Times New Roman" w:hAnsi="Times New Roman"/>
          <w:sz w:val="24"/>
          <w:szCs w:val="24"/>
          <w:lang w:val="en-GB"/>
        </w:rPr>
        <w:t>mLCL</w:t>
      </w:r>
      <w:proofErr w:type="spellEnd"/>
      <w:r w:rsidRPr="0021622D">
        <w:rPr>
          <w:rFonts w:ascii="Times New Roman" w:hAnsi="Times New Roman"/>
          <w:sz w:val="24"/>
          <w:szCs w:val="24"/>
          <w:lang w:val="en-GB"/>
        </w:rPr>
        <w:t xml:space="preserve">), lyso-PG (LPG), phosphatidylserine (PS), and lyso-PS (LPS). Lower row: phosphatidylinositol (PI), lyso-PI (LPI), </w:t>
      </w:r>
      <w:proofErr w:type="spellStart"/>
      <w:r w:rsidRPr="0021622D">
        <w:rPr>
          <w:rFonts w:ascii="Times New Roman" w:hAnsi="Times New Roman"/>
          <w:sz w:val="24"/>
          <w:szCs w:val="24"/>
          <w:lang w:val="en-GB"/>
        </w:rPr>
        <w:t>semilysobisphosphatidic</w:t>
      </w:r>
      <w:proofErr w:type="spellEnd"/>
      <w:r w:rsidRPr="0021622D">
        <w:rPr>
          <w:rFonts w:ascii="Times New Roman" w:hAnsi="Times New Roman"/>
          <w:sz w:val="24"/>
          <w:szCs w:val="24"/>
          <w:lang w:val="en-GB"/>
        </w:rPr>
        <w:t xml:space="preserve"> acid (SLBPA), and sphingomyelin (SM). Total phospholipid levels are defined as the summation of the relative abundance of all identified </w:t>
      </w:r>
      <w:r w:rsidRPr="0021622D">
        <w:rPr>
          <w:rFonts w:ascii="Times New Roman" w:hAnsi="Times New Roman"/>
          <w:color w:val="000000" w:themeColor="text1"/>
          <w:sz w:val="24"/>
          <w:szCs w:val="24"/>
          <w:lang w:val="en-GB"/>
        </w:rPr>
        <w:t xml:space="preserve">phospholipid species of the same class normalised to the corresponding internal standard, assuming identical response with respect to internal standard (except for SLBPA, PI and LPI, </w:t>
      </w:r>
      <w:r w:rsidRPr="0021622D">
        <w:rPr>
          <w:rFonts w:ascii="Times New Roman" w:hAnsi="Times New Roman"/>
          <w:sz w:val="24"/>
          <w:szCs w:val="24"/>
          <w:lang w:val="en-GB"/>
        </w:rPr>
        <w:t>because no internal standard available was available)</w:t>
      </w:r>
      <w:r w:rsidRPr="0021622D">
        <w:rPr>
          <w:rFonts w:ascii="Times New Roman" w:hAnsi="Times New Roman"/>
          <w:color w:val="000000" w:themeColor="text1"/>
          <w:sz w:val="24"/>
          <w:szCs w:val="24"/>
          <w:lang w:val="en-GB"/>
        </w:rPr>
        <w:t>. For details, see Figure 2</w:t>
      </w:r>
      <w:r w:rsidR="00531E5C">
        <w:rPr>
          <w:rFonts w:ascii="Times New Roman" w:hAnsi="Times New Roman"/>
          <w:color w:val="000000" w:themeColor="text1"/>
          <w:sz w:val="24"/>
          <w:szCs w:val="24"/>
          <w:lang w:val="en-GB"/>
        </w:rPr>
        <w:t>D</w:t>
      </w:r>
      <w:r w:rsidRPr="0021622D">
        <w:rPr>
          <w:rFonts w:ascii="Times New Roman" w:hAnsi="Times New Roman"/>
          <w:color w:val="000000" w:themeColor="text1"/>
          <w:sz w:val="24"/>
          <w:szCs w:val="24"/>
          <w:lang w:val="en-GB"/>
        </w:rPr>
        <w:t>.</w:t>
      </w:r>
    </w:p>
    <w:p w:rsidR="00CA07EC" w:rsidRPr="0021622D" w:rsidRDefault="00CA07EC" w:rsidP="00CF04CC">
      <w:pPr>
        <w:spacing w:before="240" w:line="360" w:lineRule="auto"/>
        <w:rPr>
          <w:rFonts w:ascii="Times New Roman" w:hAnsi="Times New Roman"/>
          <w:b/>
          <w:color w:val="000000" w:themeColor="text1"/>
          <w:sz w:val="24"/>
          <w:szCs w:val="24"/>
          <w:lang w:val="en-GB"/>
        </w:rPr>
      </w:pPr>
      <w:r w:rsidRPr="0021622D">
        <w:rPr>
          <w:rFonts w:ascii="Times New Roman" w:hAnsi="Times New Roman"/>
          <w:b/>
          <w:color w:val="000000" w:themeColor="text1"/>
          <w:sz w:val="24"/>
          <w:szCs w:val="24"/>
          <w:lang w:val="en-GB"/>
        </w:rPr>
        <w:t xml:space="preserve">Supplemental Figure </w:t>
      </w:r>
      <w:r w:rsidR="00531E5C">
        <w:rPr>
          <w:rFonts w:ascii="Times New Roman" w:hAnsi="Times New Roman"/>
          <w:b/>
          <w:color w:val="000000" w:themeColor="text1"/>
          <w:sz w:val="24"/>
          <w:szCs w:val="24"/>
          <w:lang w:val="en-GB"/>
        </w:rPr>
        <w:t>2</w:t>
      </w:r>
      <w:r w:rsidRPr="0021622D">
        <w:rPr>
          <w:rFonts w:ascii="Times New Roman" w:hAnsi="Times New Roman"/>
          <w:b/>
          <w:color w:val="000000" w:themeColor="text1"/>
          <w:sz w:val="24"/>
          <w:szCs w:val="24"/>
          <w:lang w:val="en-GB"/>
        </w:rPr>
        <w:t xml:space="preserve">. </w:t>
      </w:r>
    </w:p>
    <w:p w:rsidR="009059B4" w:rsidRPr="0021622D" w:rsidRDefault="009059B4" w:rsidP="00CF04CC">
      <w:pPr>
        <w:spacing w:before="240" w:line="360" w:lineRule="auto"/>
        <w:rPr>
          <w:rFonts w:ascii="Times New Roman" w:hAnsi="Times New Roman"/>
          <w:b/>
          <w:color w:val="000000" w:themeColor="text1"/>
          <w:sz w:val="24"/>
          <w:szCs w:val="24"/>
          <w:lang w:val="en-GB"/>
        </w:rPr>
      </w:pPr>
    </w:p>
    <w:p w:rsidR="009059B4" w:rsidRPr="0021622D" w:rsidRDefault="009059B4" w:rsidP="00CF04CC">
      <w:pPr>
        <w:spacing w:before="240" w:line="360" w:lineRule="auto"/>
        <w:rPr>
          <w:rFonts w:ascii="Times New Roman" w:hAnsi="Times New Roman"/>
          <w:sz w:val="24"/>
          <w:szCs w:val="24"/>
          <w:lang w:val="en-GB"/>
        </w:rPr>
      </w:pPr>
      <w:r w:rsidRPr="0021622D">
        <w:rPr>
          <w:rFonts w:ascii="Times New Roman" w:hAnsi="Times New Roman"/>
          <w:b/>
          <w:noProof/>
          <w:sz w:val="24"/>
          <w:szCs w:val="24"/>
          <w:lang w:eastAsia="nl-NL"/>
        </w:rPr>
        <w:drawing>
          <wp:inline distT="0" distB="0" distL="0" distR="0" wp14:anchorId="49B2CD49" wp14:editId="6B7A392A">
            <wp:extent cx="5760720" cy="7404100"/>
            <wp:effectExtent l="0" t="0" r="0" b="6350"/>
            <wp:docPr id="3" name="Picture 3" descr="G:\divg\GMZ\Research\Katharina\A2\Suppl Fig 3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ivg\GMZ\Research\Katharina\A2\Suppl Fig 3 v2.tif"/>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7404100"/>
                    </a:xfrm>
                    <a:prstGeom prst="rect">
                      <a:avLst/>
                    </a:prstGeom>
                    <a:noFill/>
                    <a:ln>
                      <a:noFill/>
                    </a:ln>
                  </pic:spPr>
                </pic:pic>
              </a:graphicData>
            </a:graphic>
          </wp:inline>
        </w:drawing>
      </w:r>
    </w:p>
    <w:p w:rsidR="009059B4" w:rsidRPr="0021622D" w:rsidRDefault="009059B4" w:rsidP="00CF04CC">
      <w:pPr>
        <w:spacing w:before="240" w:line="360" w:lineRule="auto"/>
        <w:rPr>
          <w:rFonts w:ascii="Times New Roman" w:hAnsi="Times New Roman"/>
          <w:sz w:val="24"/>
          <w:szCs w:val="24"/>
          <w:lang w:val="en-GB"/>
        </w:rPr>
      </w:pPr>
    </w:p>
    <w:p w:rsidR="00CA07EC" w:rsidRPr="0021622D" w:rsidRDefault="00CA07EC" w:rsidP="00CF04CC">
      <w:pPr>
        <w:spacing w:before="240" w:line="360" w:lineRule="auto"/>
        <w:rPr>
          <w:rFonts w:ascii="Times New Roman" w:hAnsi="Times New Roman"/>
          <w:sz w:val="24"/>
          <w:szCs w:val="24"/>
          <w:lang w:val="en-GB"/>
        </w:rPr>
      </w:pPr>
      <w:r w:rsidRPr="0021622D">
        <w:rPr>
          <w:rFonts w:ascii="Times New Roman" w:hAnsi="Times New Roman"/>
          <w:sz w:val="24"/>
          <w:szCs w:val="24"/>
          <w:lang w:val="en-GB"/>
        </w:rPr>
        <w:t xml:space="preserve">Identification of </w:t>
      </w:r>
      <w:proofErr w:type="spellStart"/>
      <w:r w:rsidRPr="0021622D">
        <w:rPr>
          <w:rFonts w:ascii="Times New Roman" w:hAnsi="Times New Roman"/>
          <w:sz w:val="24"/>
          <w:szCs w:val="24"/>
          <w:lang w:val="en-GB"/>
        </w:rPr>
        <w:t>plasmanyl</w:t>
      </w:r>
      <w:proofErr w:type="spellEnd"/>
      <w:r w:rsidRPr="0021622D">
        <w:rPr>
          <w:rFonts w:ascii="Times New Roman" w:hAnsi="Times New Roman"/>
          <w:sz w:val="24"/>
          <w:szCs w:val="24"/>
          <w:lang w:val="en-GB"/>
        </w:rPr>
        <w:t xml:space="preserve">- and </w:t>
      </w:r>
      <w:proofErr w:type="spellStart"/>
      <w:r w:rsidRPr="0021622D">
        <w:rPr>
          <w:rFonts w:ascii="Times New Roman" w:hAnsi="Times New Roman"/>
          <w:sz w:val="24"/>
          <w:szCs w:val="24"/>
          <w:lang w:val="en-GB"/>
        </w:rPr>
        <w:t>plasmenyl</w:t>
      </w:r>
      <w:proofErr w:type="spellEnd"/>
      <w:r w:rsidRPr="0021622D">
        <w:rPr>
          <w:rFonts w:ascii="Times New Roman" w:hAnsi="Times New Roman"/>
          <w:sz w:val="24"/>
          <w:szCs w:val="24"/>
          <w:lang w:val="en-GB"/>
        </w:rPr>
        <w:t xml:space="preserve">-ether phospholipids (plasmalogens) by acidification of samples. Pooled fibroblast samples per group were treated with 3 N </w:t>
      </w:r>
      <w:proofErr w:type="spellStart"/>
      <w:r w:rsidRPr="0021622D">
        <w:rPr>
          <w:rFonts w:ascii="Times New Roman" w:hAnsi="Times New Roman"/>
          <w:sz w:val="24"/>
          <w:szCs w:val="24"/>
          <w:lang w:val="en-GB"/>
        </w:rPr>
        <w:t>HCl</w:t>
      </w:r>
      <w:proofErr w:type="spellEnd"/>
      <w:r w:rsidRPr="0021622D">
        <w:rPr>
          <w:rFonts w:ascii="Times New Roman" w:hAnsi="Times New Roman"/>
          <w:sz w:val="24"/>
          <w:szCs w:val="24"/>
          <w:lang w:val="en-GB"/>
        </w:rPr>
        <w:t xml:space="preserve"> in </w:t>
      </w:r>
      <w:proofErr w:type="spellStart"/>
      <w:r w:rsidRPr="0021622D">
        <w:rPr>
          <w:rFonts w:ascii="Times New Roman" w:hAnsi="Times New Roman"/>
          <w:sz w:val="24"/>
          <w:szCs w:val="24"/>
          <w:lang w:val="en-GB"/>
        </w:rPr>
        <w:t>MeOH</w:t>
      </w:r>
      <w:proofErr w:type="spellEnd"/>
      <w:r w:rsidRPr="0021622D">
        <w:rPr>
          <w:rFonts w:ascii="Times New Roman" w:hAnsi="Times New Roman"/>
          <w:sz w:val="24"/>
          <w:szCs w:val="24"/>
          <w:lang w:val="en-GB"/>
        </w:rPr>
        <w:t xml:space="preserve"> (1:1), and incubated for 30 min at room temperature. Samples were dried under a nitrogen steam, and residues were resuspended CHCL3:MeOH=1:1. A) Volcano plot of treated versus untreated samples. Phospholipid species that were unchanged between treated and untreated samples (depicted as black dots in Volcano plot) were determined as </w:t>
      </w:r>
      <w:proofErr w:type="spellStart"/>
      <w:r w:rsidRPr="0021622D">
        <w:rPr>
          <w:rFonts w:ascii="Times New Roman" w:hAnsi="Times New Roman"/>
          <w:sz w:val="24"/>
          <w:szCs w:val="24"/>
          <w:lang w:val="en-GB"/>
        </w:rPr>
        <w:t>plasmanyl</w:t>
      </w:r>
      <w:proofErr w:type="spellEnd"/>
      <w:r w:rsidRPr="0021622D">
        <w:rPr>
          <w:rFonts w:ascii="Times New Roman" w:hAnsi="Times New Roman"/>
          <w:sz w:val="24"/>
          <w:szCs w:val="24"/>
          <w:lang w:val="en-GB"/>
        </w:rPr>
        <w:t xml:space="preserve">-ether phospholipids, species that were decreased in treated samples when compared to untreated samples (depicted as green dots in Volcano plot, with p-value &lt; 0.05 and log2 fold change &gt; 1) were determined as </w:t>
      </w:r>
      <w:proofErr w:type="spellStart"/>
      <w:r w:rsidRPr="0021622D">
        <w:rPr>
          <w:rFonts w:ascii="Times New Roman" w:hAnsi="Times New Roman"/>
          <w:sz w:val="24"/>
          <w:szCs w:val="24"/>
          <w:lang w:val="en-GB"/>
        </w:rPr>
        <w:t>plasmenyl</w:t>
      </w:r>
      <w:proofErr w:type="spellEnd"/>
      <w:r w:rsidRPr="0021622D">
        <w:rPr>
          <w:rFonts w:ascii="Times New Roman" w:hAnsi="Times New Roman"/>
          <w:sz w:val="24"/>
          <w:szCs w:val="24"/>
          <w:lang w:val="en-GB"/>
        </w:rPr>
        <w:t xml:space="preserve">-ether phospholipids (plasmalogens). B+C) Box plots of (B) </w:t>
      </w:r>
      <w:proofErr w:type="spellStart"/>
      <w:r w:rsidRPr="0021622D">
        <w:rPr>
          <w:rFonts w:ascii="Times New Roman" w:hAnsi="Times New Roman"/>
          <w:sz w:val="24"/>
          <w:szCs w:val="24"/>
          <w:lang w:val="en-GB"/>
        </w:rPr>
        <w:t>plasmanyl</w:t>
      </w:r>
      <w:proofErr w:type="spellEnd"/>
      <w:r w:rsidRPr="0021622D">
        <w:rPr>
          <w:rFonts w:ascii="Times New Roman" w:hAnsi="Times New Roman"/>
          <w:sz w:val="24"/>
          <w:szCs w:val="24"/>
          <w:lang w:val="en-GB"/>
        </w:rPr>
        <w:t xml:space="preserve">- and (C) </w:t>
      </w:r>
      <w:proofErr w:type="spellStart"/>
      <w:r w:rsidRPr="0021622D">
        <w:rPr>
          <w:rFonts w:ascii="Times New Roman" w:hAnsi="Times New Roman"/>
          <w:sz w:val="24"/>
          <w:szCs w:val="24"/>
          <w:lang w:val="en-GB"/>
        </w:rPr>
        <w:t>plasmenyl</w:t>
      </w:r>
      <w:proofErr w:type="spellEnd"/>
      <w:r w:rsidRPr="0021622D">
        <w:rPr>
          <w:rFonts w:ascii="Times New Roman" w:hAnsi="Times New Roman"/>
          <w:sz w:val="24"/>
          <w:szCs w:val="24"/>
          <w:lang w:val="en-GB"/>
        </w:rPr>
        <w:t xml:space="preserve">-ether phospholipids (plasmalogens) determined by acidification treatment. Values are presented as fold changes when compared to the healthy control group. </w:t>
      </w:r>
    </w:p>
    <w:p w:rsidR="00CA07EC" w:rsidRPr="0021622D" w:rsidRDefault="00CA07EC" w:rsidP="00CF04CC">
      <w:pPr>
        <w:spacing w:before="240" w:line="360" w:lineRule="auto"/>
        <w:rPr>
          <w:rFonts w:ascii="Times New Roman" w:hAnsi="Times New Roman"/>
          <w:color w:val="000000" w:themeColor="text1"/>
          <w:sz w:val="24"/>
          <w:szCs w:val="24"/>
          <w:lang w:val="en-GB"/>
        </w:rPr>
      </w:pPr>
    </w:p>
    <w:p w:rsidR="007E7ECB" w:rsidRPr="0021622D" w:rsidRDefault="007E7ECB" w:rsidP="00CF04CC">
      <w:pPr>
        <w:spacing w:after="0" w:line="360" w:lineRule="auto"/>
        <w:rPr>
          <w:rFonts w:ascii="Times New Roman" w:hAnsi="Times New Roman"/>
          <w:b/>
          <w:color w:val="000000" w:themeColor="text1"/>
          <w:sz w:val="24"/>
          <w:szCs w:val="24"/>
          <w:lang w:val="en-GB"/>
        </w:rPr>
      </w:pPr>
      <w:r w:rsidRPr="0021622D">
        <w:rPr>
          <w:rFonts w:ascii="Times New Roman" w:hAnsi="Times New Roman"/>
          <w:b/>
          <w:color w:val="000000" w:themeColor="text1"/>
          <w:sz w:val="24"/>
          <w:szCs w:val="24"/>
          <w:lang w:val="en-GB"/>
        </w:rPr>
        <w:br w:type="page"/>
      </w:r>
    </w:p>
    <w:p w:rsidR="00CA07EC" w:rsidRPr="0021622D" w:rsidRDefault="00CA07EC" w:rsidP="00CF04CC">
      <w:pPr>
        <w:spacing w:before="240" w:line="360" w:lineRule="auto"/>
        <w:rPr>
          <w:rFonts w:ascii="Times New Roman" w:hAnsi="Times New Roman"/>
          <w:b/>
          <w:color w:val="000000" w:themeColor="text1"/>
          <w:sz w:val="24"/>
          <w:szCs w:val="24"/>
          <w:lang w:val="en-GB"/>
        </w:rPr>
      </w:pPr>
      <w:r w:rsidRPr="0021622D">
        <w:rPr>
          <w:rFonts w:ascii="Times New Roman" w:hAnsi="Times New Roman"/>
          <w:b/>
          <w:color w:val="000000" w:themeColor="text1"/>
          <w:sz w:val="24"/>
          <w:szCs w:val="24"/>
          <w:lang w:val="en-GB"/>
        </w:rPr>
        <w:t xml:space="preserve">Supplemental Figure </w:t>
      </w:r>
      <w:r w:rsidR="00531E5C">
        <w:rPr>
          <w:rFonts w:ascii="Times New Roman" w:hAnsi="Times New Roman"/>
          <w:b/>
          <w:color w:val="000000" w:themeColor="text1"/>
          <w:sz w:val="24"/>
          <w:szCs w:val="24"/>
          <w:lang w:val="en-GB"/>
        </w:rPr>
        <w:t>3</w:t>
      </w:r>
      <w:r w:rsidRPr="0021622D">
        <w:rPr>
          <w:rFonts w:ascii="Times New Roman" w:hAnsi="Times New Roman"/>
          <w:b/>
          <w:color w:val="000000" w:themeColor="text1"/>
          <w:sz w:val="24"/>
          <w:szCs w:val="24"/>
          <w:lang w:val="en-GB"/>
        </w:rPr>
        <w:t xml:space="preserve">. </w:t>
      </w:r>
    </w:p>
    <w:p w:rsidR="009059B4" w:rsidRPr="0021622D" w:rsidRDefault="009059B4" w:rsidP="00CF04CC">
      <w:pPr>
        <w:spacing w:before="240" w:line="360" w:lineRule="auto"/>
        <w:rPr>
          <w:rFonts w:ascii="Times New Roman" w:hAnsi="Times New Roman"/>
          <w:color w:val="000000" w:themeColor="text1"/>
          <w:sz w:val="24"/>
          <w:szCs w:val="24"/>
          <w:lang w:val="en-GB"/>
        </w:rPr>
      </w:pPr>
    </w:p>
    <w:p w:rsidR="009059B4" w:rsidRPr="0021622D" w:rsidRDefault="009059B4" w:rsidP="00CF04CC">
      <w:pPr>
        <w:spacing w:before="240" w:line="360" w:lineRule="auto"/>
        <w:rPr>
          <w:rFonts w:ascii="Times New Roman" w:hAnsi="Times New Roman"/>
          <w:color w:val="000000" w:themeColor="text1"/>
          <w:sz w:val="24"/>
          <w:szCs w:val="24"/>
          <w:lang w:val="en-GB"/>
        </w:rPr>
      </w:pPr>
      <w:bookmarkStart w:id="0" w:name="_GoBack"/>
      <w:r w:rsidRPr="0021622D">
        <w:rPr>
          <w:rFonts w:ascii="Times New Roman" w:hAnsi="Times New Roman"/>
          <w:b/>
          <w:noProof/>
          <w:sz w:val="24"/>
          <w:szCs w:val="24"/>
          <w:lang w:eastAsia="nl-NL"/>
        </w:rPr>
        <w:drawing>
          <wp:inline distT="0" distB="0" distL="0" distR="0" wp14:anchorId="4AF003AF" wp14:editId="74CA1AFA">
            <wp:extent cx="5760720" cy="3763010"/>
            <wp:effectExtent l="0" t="0" r="0" b="8890"/>
            <wp:docPr id="4" name="Picture 4" descr="G:\divg\GMZ\Research\Katharina\A2\Suppl Fig 4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ivg\GMZ\Research\Katharina\A2\Suppl Fig 4 v2.tif"/>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763010"/>
                    </a:xfrm>
                    <a:prstGeom prst="rect">
                      <a:avLst/>
                    </a:prstGeom>
                    <a:noFill/>
                    <a:ln>
                      <a:noFill/>
                    </a:ln>
                  </pic:spPr>
                </pic:pic>
              </a:graphicData>
            </a:graphic>
          </wp:inline>
        </w:drawing>
      </w:r>
      <w:bookmarkEnd w:id="0"/>
    </w:p>
    <w:p w:rsidR="009059B4" w:rsidRPr="0021622D" w:rsidRDefault="009059B4" w:rsidP="00CF04CC">
      <w:pPr>
        <w:spacing w:before="240" w:line="360" w:lineRule="auto"/>
        <w:rPr>
          <w:rFonts w:ascii="Times New Roman" w:hAnsi="Times New Roman"/>
          <w:color w:val="000000" w:themeColor="text1"/>
          <w:sz w:val="24"/>
          <w:szCs w:val="24"/>
          <w:lang w:val="en-GB"/>
        </w:rPr>
      </w:pPr>
    </w:p>
    <w:p w:rsidR="00CA07EC" w:rsidRPr="0021622D" w:rsidRDefault="00CA07EC" w:rsidP="00CF04CC">
      <w:pPr>
        <w:spacing w:before="240" w:line="360" w:lineRule="auto"/>
        <w:rPr>
          <w:rFonts w:ascii="Times New Roman" w:hAnsi="Times New Roman"/>
          <w:color w:val="000000" w:themeColor="text1"/>
          <w:sz w:val="24"/>
          <w:szCs w:val="24"/>
          <w:lang w:val="en-GB"/>
        </w:rPr>
      </w:pPr>
      <w:r w:rsidRPr="0021622D">
        <w:rPr>
          <w:rFonts w:ascii="Times New Roman" w:hAnsi="Times New Roman"/>
          <w:color w:val="000000" w:themeColor="text1"/>
          <w:sz w:val="24"/>
          <w:szCs w:val="24"/>
          <w:lang w:val="en-GB"/>
        </w:rPr>
        <w:t xml:space="preserve">Score plot of the multivariate models of variations using PLS-DA for each PED group when compared to the control group. (A) ACOX1 deficiency versus control, (B) ALD versus control, and (C) DBP deficiency versus the control group. The PLS-DA model is presented in the plane of the first (X-variate) and second component (Y-variate). The percentage of variance explained by the components is indicated in parentheses. The percentage of predictor variance explained by the full model (RX2), the response variance (RY2), and the predictive performance of the model estimated by cross-validation (Q2Y) are indicated for each PLS-DA model. </w:t>
      </w:r>
    </w:p>
    <w:p w:rsidR="00CA07EC" w:rsidRPr="0021622D" w:rsidRDefault="00CA07EC" w:rsidP="00CF04CC">
      <w:pPr>
        <w:spacing w:before="240" w:line="360" w:lineRule="auto"/>
        <w:rPr>
          <w:rFonts w:ascii="Times New Roman" w:hAnsi="Times New Roman"/>
          <w:color w:val="000000" w:themeColor="text1"/>
          <w:sz w:val="24"/>
          <w:szCs w:val="24"/>
          <w:lang w:val="en-GB"/>
        </w:rPr>
      </w:pPr>
    </w:p>
    <w:p w:rsidR="007E7ECB" w:rsidRPr="0021622D" w:rsidRDefault="007E7ECB" w:rsidP="00CF04CC">
      <w:pPr>
        <w:spacing w:after="0" w:line="360" w:lineRule="auto"/>
        <w:rPr>
          <w:rFonts w:ascii="Times New Roman" w:hAnsi="Times New Roman"/>
          <w:b/>
          <w:color w:val="000000" w:themeColor="text1"/>
          <w:sz w:val="24"/>
          <w:szCs w:val="24"/>
          <w:lang w:val="en-GB"/>
        </w:rPr>
      </w:pPr>
      <w:r w:rsidRPr="0021622D">
        <w:rPr>
          <w:rFonts w:ascii="Times New Roman" w:hAnsi="Times New Roman"/>
          <w:b/>
          <w:color w:val="000000" w:themeColor="text1"/>
          <w:sz w:val="24"/>
          <w:szCs w:val="24"/>
          <w:lang w:val="en-GB"/>
        </w:rPr>
        <w:br w:type="page"/>
      </w:r>
    </w:p>
    <w:p w:rsidR="00CA07EC" w:rsidRPr="0021622D" w:rsidRDefault="00CA07EC" w:rsidP="00CF04CC">
      <w:pPr>
        <w:spacing w:line="360" w:lineRule="auto"/>
        <w:rPr>
          <w:rFonts w:ascii="Times New Roman" w:hAnsi="Times New Roman"/>
          <w:b/>
          <w:color w:val="000000" w:themeColor="text1"/>
          <w:sz w:val="24"/>
          <w:szCs w:val="24"/>
          <w:lang w:val="en-GB"/>
        </w:rPr>
      </w:pPr>
      <w:r w:rsidRPr="0021622D">
        <w:rPr>
          <w:rFonts w:ascii="Times New Roman" w:hAnsi="Times New Roman"/>
          <w:b/>
          <w:color w:val="000000" w:themeColor="text1"/>
          <w:sz w:val="24"/>
          <w:szCs w:val="24"/>
          <w:lang w:val="en-GB"/>
        </w:rPr>
        <w:t>Supplemental Table A.</w:t>
      </w:r>
    </w:p>
    <w:p w:rsidR="00CA07EC" w:rsidRPr="0021622D" w:rsidRDefault="00CA07EC" w:rsidP="00CF04CC">
      <w:pPr>
        <w:spacing w:before="240" w:line="360" w:lineRule="auto"/>
        <w:rPr>
          <w:rFonts w:ascii="Times New Roman" w:hAnsi="Times New Roman"/>
          <w:color w:val="000000" w:themeColor="text1"/>
          <w:sz w:val="24"/>
          <w:szCs w:val="24"/>
          <w:lang w:val="en-US"/>
        </w:rPr>
      </w:pPr>
      <w:r w:rsidRPr="0021622D">
        <w:rPr>
          <w:rFonts w:ascii="Times New Roman" w:hAnsi="Times New Roman"/>
          <w:color w:val="000000" w:themeColor="text1"/>
          <w:sz w:val="24"/>
          <w:szCs w:val="24"/>
          <w:lang w:val="en-US"/>
        </w:rPr>
        <w:t xml:space="preserve">List of 936 identified distinct phospholipid species, including extracted ion chromatograms (EIC’s) and box-and-whisker plots of each phospholipid species per group. The unit of the data presented is the relative abundance </w:t>
      </w:r>
      <w:proofErr w:type="spellStart"/>
      <w:r w:rsidRPr="0021622D">
        <w:rPr>
          <w:rFonts w:ascii="Times New Roman" w:hAnsi="Times New Roman"/>
          <w:color w:val="000000" w:themeColor="text1"/>
          <w:sz w:val="24"/>
          <w:szCs w:val="24"/>
          <w:lang w:val="en-US"/>
        </w:rPr>
        <w:t>normalised</w:t>
      </w:r>
      <w:proofErr w:type="spellEnd"/>
      <w:r w:rsidRPr="0021622D">
        <w:rPr>
          <w:rFonts w:ascii="Times New Roman" w:hAnsi="Times New Roman"/>
          <w:color w:val="000000" w:themeColor="text1"/>
          <w:sz w:val="24"/>
          <w:szCs w:val="24"/>
          <w:lang w:val="en-US"/>
        </w:rPr>
        <w:t xml:space="preserve"> to the corresponding internal standard, as indicated. For both PI and SLBPA, we had no internal standard available, and we therefore </w:t>
      </w:r>
      <w:proofErr w:type="spellStart"/>
      <w:r w:rsidRPr="0021622D">
        <w:rPr>
          <w:rFonts w:ascii="Times New Roman" w:hAnsi="Times New Roman"/>
          <w:color w:val="000000" w:themeColor="text1"/>
          <w:sz w:val="24"/>
          <w:szCs w:val="24"/>
          <w:lang w:val="en-US"/>
        </w:rPr>
        <w:t>normalised</w:t>
      </w:r>
      <w:proofErr w:type="spellEnd"/>
      <w:r w:rsidRPr="0021622D">
        <w:rPr>
          <w:rFonts w:ascii="Times New Roman" w:hAnsi="Times New Roman"/>
          <w:color w:val="000000" w:themeColor="text1"/>
          <w:sz w:val="24"/>
          <w:szCs w:val="24"/>
          <w:lang w:val="en-US"/>
        </w:rPr>
        <w:t xml:space="preserve"> PI species on the internal standard for PE, and SLBPA species on the internal standard for BMP, respectively. The EIC plots show the extracted ion chromatography profiles for all the samples in the dataset after retention time correction, presenting the values for the retention time (</w:t>
      </w:r>
      <w:proofErr w:type="spellStart"/>
      <w:r w:rsidRPr="0021622D">
        <w:rPr>
          <w:rFonts w:ascii="Times New Roman" w:hAnsi="Times New Roman"/>
          <w:color w:val="000000" w:themeColor="text1"/>
          <w:sz w:val="24"/>
          <w:szCs w:val="24"/>
          <w:lang w:val="en-US"/>
        </w:rPr>
        <w:t>rtmed</w:t>
      </w:r>
      <w:proofErr w:type="spellEnd"/>
      <w:r w:rsidRPr="0021622D">
        <w:rPr>
          <w:rFonts w:ascii="Times New Roman" w:hAnsi="Times New Roman"/>
          <w:color w:val="000000" w:themeColor="text1"/>
          <w:sz w:val="24"/>
          <w:szCs w:val="24"/>
          <w:lang w:val="en-US"/>
        </w:rPr>
        <w:t>) and mass over charge ratio (</w:t>
      </w:r>
      <w:proofErr w:type="spellStart"/>
      <w:r w:rsidRPr="0021622D">
        <w:rPr>
          <w:rFonts w:ascii="Times New Roman" w:hAnsi="Times New Roman"/>
          <w:color w:val="000000" w:themeColor="text1"/>
          <w:sz w:val="24"/>
          <w:szCs w:val="24"/>
          <w:lang w:val="en-US"/>
        </w:rPr>
        <w:t>mzmed</w:t>
      </w:r>
      <w:proofErr w:type="spellEnd"/>
      <w:r w:rsidRPr="0021622D">
        <w:rPr>
          <w:rFonts w:ascii="Times New Roman" w:hAnsi="Times New Roman"/>
          <w:color w:val="000000" w:themeColor="text1"/>
          <w:sz w:val="24"/>
          <w:szCs w:val="24"/>
          <w:lang w:val="en-US"/>
        </w:rPr>
        <w:t>) as the median of the retention times for that peak group in a sample.</w:t>
      </w:r>
    </w:p>
    <w:p w:rsidR="00CA07EC" w:rsidRPr="0021622D" w:rsidRDefault="00CA07EC" w:rsidP="00CF04CC">
      <w:pPr>
        <w:spacing w:before="240" w:line="360" w:lineRule="auto"/>
        <w:rPr>
          <w:rFonts w:ascii="Times New Roman" w:hAnsi="Times New Roman"/>
          <w:color w:val="000000" w:themeColor="text1"/>
          <w:sz w:val="24"/>
          <w:szCs w:val="24"/>
          <w:lang w:val="en-US"/>
        </w:rPr>
      </w:pPr>
    </w:p>
    <w:p w:rsidR="00CA07EC" w:rsidRPr="0021622D" w:rsidRDefault="00CA07EC" w:rsidP="00CF04CC">
      <w:pPr>
        <w:spacing w:before="240" w:line="360" w:lineRule="auto"/>
        <w:rPr>
          <w:rFonts w:ascii="Times New Roman" w:hAnsi="Times New Roman"/>
          <w:b/>
          <w:color w:val="000000" w:themeColor="text1"/>
          <w:sz w:val="24"/>
          <w:szCs w:val="24"/>
          <w:lang w:val="en-GB"/>
        </w:rPr>
      </w:pPr>
      <w:r w:rsidRPr="0021622D">
        <w:rPr>
          <w:rFonts w:ascii="Times New Roman" w:hAnsi="Times New Roman"/>
          <w:b/>
          <w:color w:val="000000" w:themeColor="text1"/>
          <w:sz w:val="24"/>
          <w:szCs w:val="24"/>
          <w:lang w:val="en-GB"/>
        </w:rPr>
        <w:t>Supplemental Table B.</w:t>
      </w:r>
    </w:p>
    <w:p w:rsidR="00CA07EC" w:rsidRPr="0021622D" w:rsidRDefault="00CA07EC" w:rsidP="00CF04CC">
      <w:pPr>
        <w:spacing w:before="240" w:line="360" w:lineRule="auto"/>
        <w:rPr>
          <w:rFonts w:ascii="Times New Roman" w:hAnsi="Times New Roman"/>
          <w:color w:val="000000" w:themeColor="text1"/>
          <w:sz w:val="24"/>
          <w:szCs w:val="24"/>
          <w:lang w:val="en-GB"/>
        </w:rPr>
      </w:pPr>
      <w:r w:rsidRPr="0021622D">
        <w:rPr>
          <w:rFonts w:ascii="Times New Roman" w:hAnsi="Times New Roman"/>
          <w:color w:val="000000" w:themeColor="text1"/>
          <w:sz w:val="24"/>
          <w:szCs w:val="24"/>
          <w:lang w:val="en-GB"/>
        </w:rPr>
        <w:t xml:space="preserve">List of phospholipid species </w:t>
      </w:r>
      <w:r w:rsidRPr="0021622D">
        <w:rPr>
          <w:rFonts w:ascii="Times New Roman" w:hAnsi="Times New Roman"/>
          <w:sz w:val="24"/>
          <w:szCs w:val="24"/>
          <w:lang w:val="en-GB"/>
        </w:rPr>
        <w:t xml:space="preserve">ranked by the Variable Importance in Projection (VIP) score for each PLS-DA model, with a cut-off VIP score of &gt; 1.0. PLS-DA model for </w:t>
      </w:r>
      <w:r w:rsidRPr="0021622D">
        <w:rPr>
          <w:rFonts w:ascii="Times New Roman" w:hAnsi="Times New Roman"/>
          <w:color w:val="000000" w:themeColor="text1"/>
          <w:sz w:val="24"/>
          <w:szCs w:val="24"/>
          <w:lang w:val="en-GB"/>
        </w:rPr>
        <w:t>(A) all groups, (B) ACOX1 deficiency versus control, (C) ALD versus control, and (D) DBP deficiency versus the control group.</w:t>
      </w:r>
    </w:p>
    <w:p w:rsidR="00CA07EC" w:rsidRPr="0021622D" w:rsidRDefault="00CA07EC" w:rsidP="00CF04CC">
      <w:pPr>
        <w:spacing w:before="240" w:line="360" w:lineRule="auto"/>
        <w:rPr>
          <w:rFonts w:ascii="Times New Roman" w:hAnsi="Times New Roman"/>
          <w:color w:val="000000" w:themeColor="text1"/>
          <w:sz w:val="24"/>
          <w:szCs w:val="24"/>
          <w:lang w:val="en-US"/>
        </w:rPr>
      </w:pPr>
    </w:p>
    <w:p w:rsidR="00CA07EC" w:rsidRPr="0021622D" w:rsidRDefault="00CA07EC" w:rsidP="00CF04CC">
      <w:pPr>
        <w:spacing w:before="240" w:line="360" w:lineRule="auto"/>
        <w:rPr>
          <w:rFonts w:ascii="Times New Roman" w:hAnsi="Times New Roman"/>
          <w:b/>
          <w:color w:val="000000" w:themeColor="text1"/>
          <w:sz w:val="24"/>
          <w:szCs w:val="24"/>
          <w:lang w:val="en-GB"/>
        </w:rPr>
      </w:pPr>
      <w:r w:rsidRPr="0021622D">
        <w:rPr>
          <w:rFonts w:ascii="Times New Roman" w:hAnsi="Times New Roman"/>
          <w:b/>
          <w:color w:val="000000" w:themeColor="text1"/>
          <w:sz w:val="24"/>
          <w:szCs w:val="24"/>
          <w:lang w:val="en-GB"/>
        </w:rPr>
        <w:t>Supplemental Table C.</w:t>
      </w:r>
    </w:p>
    <w:p w:rsidR="00CA07EC" w:rsidRPr="0021622D" w:rsidRDefault="00CA07EC" w:rsidP="00CF04CC">
      <w:pPr>
        <w:spacing w:before="240" w:line="360" w:lineRule="auto"/>
        <w:rPr>
          <w:rFonts w:ascii="Times New Roman" w:hAnsi="Times New Roman"/>
          <w:i/>
          <w:color w:val="000000" w:themeColor="text1"/>
          <w:sz w:val="24"/>
          <w:szCs w:val="24"/>
          <w:lang w:val="en-US"/>
        </w:rPr>
      </w:pPr>
      <w:r w:rsidRPr="0021622D">
        <w:rPr>
          <w:rFonts w:ascii="Times New Roman" w:hAnsi="Times New Roman"/>
          <w:color w:val="000000" w:themeColor="text1"/>
          <w:sz w:val="24"/>
          <w:szCs w:val="24"/>
          <w:lang w:val="en-US"/>
        </w:rPr>
        <w:t xml:space="preserve">List of fragmentation data obtained for several phospholipid species (A) containing fatty acids with high degree of unsaturations, which were significantly decreased in ACOX1- and DBP-deficient fibroblasts when compared to control, ABCD1- and ACBD5-deficient fibroblasts. (B) Ether phospholipid species, of which several were determined as </w:t>
      </w:r>
      <w:proofErr w:type="spellStart"/>
      <w:r w:rsidRPr="0021622D">
        <w:rPr>
          <w:rFonts w:ascii="Times New Roman" w:hAnsi="Times New Roman"/>
          <w:color w:val="000000" w:themeColor="text1"/>
          <w:sz w:val="24"/>
          <w:szCs w:val="24"/>
          <w:lang w:val="en-US"/>
        </w:rPr>
        <w:t>plasmenyl</w:t>
      </w:r>
      <w:proofErr w:type="spellEnd"/>
      <w:r w:rsidRPr="0021622D">
        <w:rPr>
          <w:rFonts w:ascii="Times New Roman" w:hAnsi="Times New Roman"/>
          <w:color w:val="000000" w:themeColor="text1"/>
          <w:sz w:val="24"/>
          <w:szCs w:val="24"/>
          <w:lang w:val="en-US"/>
        </w:rPr>
        <w:t xml:space="preserve">-ether PLs based on acid treatment of the samples as described in supplemental Fig. </w:t>
      </w:r>
      <w:r w:rsidR="00531E5C">
        <w:rPr>
          <w:rFonts w:ascii="Times New Roman" w:hAnsi="Times New Roman"/>
          <w:color w:val="000000" w:themeColor="text1"/>
          <w:sz w:val="24"/>
          <w:szCs w:val="24"/>
          <w:lang w:val="en-US"/>
        </w:rPr>
        <w:t>2</w:t>
      </w:r>
      <w:r w:rsidRPr="0021622D">
        <w:rPr>
          <w:rFonts w:ascii="Times New Roman" w:hAnsi="Times New Roman"/>
          <w:color w:val="000000" w:themeColor="text1"/>
          <w:sz w:val="24"/>
          <w:szCs w:val="24"/>
          <w:lang w:val="en-US"/>
        </w:rPr>
        <w:t xml:space="preserve">. Identified fragmented phospholipid species were determined in pooled samples per PED group, and are listed by peak intensity. Fragmentation was performed as described in: </w:t>
      </w:r>
      <w:r w:rsidRPr="0021622D">
        <w:rPr>
          <w:rFonts w:ascii="Times New Roman" w:hAnsi="Times New Roman"/>
          <w:i/>
          <w:color w:val="000000" w:themeColor="text1"/>
          <w:sz w:val="24"/>
          <w:szCs w:val="24"/>
          <w:lang w:val="en-US"/>
        </w:rPr>
        <w:t xml:space="preserve">Hsu FF, Turk J. Electrospray ionization/tandem quadrupole mass spectrometric studies on phosphatidylcholines: the fragmentation processes. J Am </w:t>
      </w:r>
      <w:proofErr w:type="spellStart"/>
      <w:r w:rsidRPr="0021622D">
        <w:rPr>
          <w:rFonts w:ascii="Times New Roman" w:hAnsi="Times New Roman"/>
          <w:i/>
          <w:color w:val="000000" w:themeColor="text1"/>
          <w:sz w:val="24"/>
          <w:szCs w:val="24"/>
          <w:lang w:val="en-US"/>
        </w:rPr>
        <w:t>Soc</w:t>
      </w:r>
      <w:proofErr w:type="spellEnd"/>
      <w:r w:rsidRPr="0021622D">
        <w:rPr>
          <w:rFonts w:ascii="Times New Roman" w:hAnsi="Times New Roman"/>
          <w:i/>
          <w:color w:val="000000" w:themeColor="text1"/>
          <w:sz w:val="24"/>
          <w:szCs w:val="24"/>
          <w:lang w:val="en-US"/>
        </w:rPr>
        <w:t xml:space="preserve"> Mass </w:t>
      </w:r>
      <w:proofErr w:type="spellStart"/>
      <w:r w:rsidRPr="0021622D">
        <w:rPr>
          <w:rFonts w:ascii="Times New Roman" w:hAnsi="Times New Roman"/>
          <w:i/>
          <w:color w:val="000000" w:themeColor="text1"/>
          <w:sz w:val="24"/>
          <w:szCs w:val="24"/>
          <w:lang w:val="en-US"/>
        </w:rPr>
        <w:t>Spectrom</w:t>
      </w:r>
      <w:proofErr w:type="spellEnd"/>
      <w:r w:rsidRPr="0021622D">
        <w:rPr>
          <w:rFonts w:ascii="Times New Roman" w:hAnsi="Times New Roman"/>
          <w:i/>
          <w:color w:val="000000" w:themeColor="text1"/>
          <w:sz w:val="24"/>
          <w:szCs w:val="24"/>
          <w:lang w:val="en-US"/>
        </w:rPr>
        <w:t>. 2003 Apr;14(4):352-63.</w:t>
      </w:r>
    </w:p>
    <w:p w:rsidR="00CA07EC" w:rsidRPr="0021622D" w:rsidRDefault="00CA07EC" w:rsidP="00CF04CC">
      <w:pPr>
        <w:spacing w:before="240" w:line="360" w:lineRule="auto"/>
        <w:rPr>
          <w:rFonts w:ascii="Times New Roman" w:hAnsi="Times New Roman"/>
          <w:b/>
          <w:color w:val="000000" w:themeColor="text1"/>
          <w:sz w:val="24"/>
          <w:szCs w:val="24"/>
          <w:lang w:val="en-GB"/>
        </w:rPr>
      </w:pPr>
    </w:p>
    <w:p w:rsidR="00CA07EC" w:rsidRPr="0021622D" w:rsidRDefault="00CA07EC" w:rsidP="00CF04CC">
      <w:pPr>
        <w:spacing w:before="240" w:line="360" w:lineRule="auto"/>
        <w:rPr>
          <w:rFonts w:ascii="Times New Roman" w:hAnsi="Times New Roman"/>
          <w:b/>
          <w:color w:val="000000" w:themeColor="text1"/>
          <w:sz w:val="24"/>
          <w:szCs w:val="24"/>
          <w:lang w:val="en-GB"/>
        </w:rPr>
      </w:pPr>
      <w:r w:rsidRPr="0021622D">
        <w:rPr>
          <w:rFonts w:ascii="Times New Roman" w:hAnsi="Times New Roman"/>
          <w:b/>
          <w:color w:val="000000" w:themeColor="text1"/>
          <w:sz w:val="24"/>
          <w:szCs w:val="24"/>
          <w:lang w:val="en-GB"/>
        </w:rPr>
        <w:t xml:space="preserve">Supplemental Table D. </w:t>
      </w:r>
    </w:p>
    <w:p w:rsidR="00CA07EC" w:rsidRPr="0021622D" w:rsidRDefault="00CA07EC" w:rsidP="00CF04CC">
      <w:pPr>
        <w:spacing w:before="240" w:line="360" w:lineRule="auto"/>
        <w:rPr>
          <w:rFonts w:ascii="Times New Roman" w:hAnsi="Times New Roman"/>
          <w:color w:val="000000" w:themeColor="text1"/>
          <w:sz w:val="24"/>
          <w:szCs w:val="24"/>
          <w:lang w:val="en-GB"/>
        </w:rPr>
      </w:pPr>
      <w:r w:rsidRPr="0021622D">
        <w:rPr>
          <w:rFonts w:ascii="Times New Roman" w:hAnsi="Times New Roman"/>
          <w:color w:val="000000" w:themeColor="text1"/>
          <w:sz w:val="24"/>
          <w:szCs w:val="24"/>
          <w:lang w:val="en-GB"/>
        </w:rPr>
        <w:t xml:space="preserve">List of A) common ratios of all PED groups when compared to healthy control samples (n=66), and B) specific ratios for </w:t>
      </w:r>
      <w:r w:rsidRPr="0021622D">
        <w:rPr>
          <w:rFonts w:ascii="Times New Roman" w:hAnsi="Times New Roman"/>
          <w:sz w:val="24"/>
          <w:szCs w:val="24"/>
          <w:lang w:val="en-GB"/>
        </w:rPr>
        <w:t>affected enzymes located inside the peroxisome (ACOX1- and DBP deficiency) when compared disorders with the affected enzymes outside the peroxisome (ALD, ACBD5 deficiency) and healthy controls (n=131)</w:t>
      </w:r>
      <w:r w:rsidRPr="0021622D">
        <w:rPr>
          <w:rFonts w:ascii="Times New Roman" w:hAnsi="Times New Roman"/>
          <w:color w:val="000000" w:themeColor="text1"/>
          <w:sz w:val="24"/>
          <w:szCs w:val="24"/>
          <w:lang w:val="en-GB"/>
        </w:rPr>
        <w:t xml:space="preserve">. For details regarding the selection procedure, see Figure 3. </w:t>
      </w:r>
    </w:p>
    <w:p w:rsidR="00CA07EC" w:rsidRPr="0021622D" w:rsidRDefault="00CA07EC" w:rsidP="00CF04CC">
      <w:pPr>
        <w:spacing w:before="240" w:line="360" w:lineRule="auto"/>
        <w:rPr>
          <w:rFonts w:ascii="Times New Roman" w:hAnsi="Times New Roman"/>
          <w:color w:val="000000" w:themeColor="text1"/>
          <w:sz w:val="24"/>
          <w:szCs w:val="24"/>
          <w:lang w:val="en-GB"/>
        </w:rPr>
      </w:pPr>
    </w:p>
    <w:p w:rsidR="00CA07EC" w:rsidRPr="0021622D" w:rsidRDefault="00CA07EC" w:rsidP="00CF04CC">
      <w:pPr>
        <w:spacing w:before="240" w:line="360" w:lineRule="auto"/>
        <w:rPr>
          <w:rFonts w:ascii="Times New Roman" w:hAnsi="Times New Roman"/>
          <w:b/>
          <w:color w:val="000000" w:themeColor="text1"/>
          <w:sz w:val="24"/>
          <w:szCs w:val="24"/>
          <w:lang w:val="en-GB"/>
        </w:rPr>
      </w:pPr>
      <w:r w:rsidRPr="0021622D">
        <w:rPr>
          <w:rFonts w:ascii="Times New Roman" w:hAnsi="Times New Roman"/>
          <w:b/>
          <w:color w:val="000000" w:themeColor="text1"/>
          <w:sz w:val="24"/>
          <w:szCs w:val="24"/>
          <w:lang w:val="en-GB"/>
        </w:rPr>
        <w:t xml:space="preserve">Supplemental Table E. </w:t>
      </w:r>
    </w:p>
    <w:p w:rsidR="00923483" w:rsidRPr="0021622D" w:rsidRDefault="00CA07EC" w:rsidP="009059B4">
      <w:pPr>
        <w:spacing w:before="240" w:line="360" w:lineRule="auto"/>
        <w:rPr>
          <w:rFonts w:ascii="Times New Roman" w:hAnsi="Times New Roman"/>
          <w:color w:val="000000" w:themeColor="text1"/>
          <w:sz w:val="24"/>
          <w:szCs w:val="24"/>
          <w:lang w:val="en-GB"/>
        </w:rPr>
      </w:pPr>
      <w:r w:rsidRPr="0021622D">
        <w:rPr>
          <w:rFonts w:ascii="Times New Roman" w:hAnsi="Times New Roman"/>
          <w:color w:val="000000" w:themeColor="text1"/>
          <w:sz w:val="24"/>
          <w:szCs w:val="24"/>
          <w:lang w:val="en-GB"/>
        </w:rPr>
        <w:t xml:space="preserve">List of common ratios </w:t>
      </w:r>
      <w:r w:rsidRPr="0021622D">
        <w:rPr>
          <w:rFonts w:ascii="Times New Roman" w:hAnsi="Times New Roman"/>
          <w:sz w:val="24"/>
          <w:szCs w:val="24"/>
          <w:lang w:val="en-GB"/>
        </w:rPr>
        <w:t xml:space="preserve">for the samples from PED fibroblasts as shown in Fig. 3 and supplemental Table D, which were also discriminative for ZSD cells with a mutation in the </w:t>
      </w:r>
      <w:r w:rsidRPr="0021622D">
        <w:rPr>
          <w:rFonts w:ascii="Times New Roman" w:hAnsi="Times New Roman"/>
          <w:i/>
          <w:sz w:val="24"/>
          <w:szCs w:val="24"/>
          <w:lang w:val="en-GB"/>
        </w:rPr>
        <w:t>PEX1</w:t>
      </w:r>
      <w:r w:rsidRPr="0021622D">
        <w:rPr>
          <w:rFonts w:ascii="Times New Roman" w:hAnsi="Times New Roman"/>
          <w:sz w:val="24"/>
          <w:szCs w:val="24"/>
          <w:lang w:val="en-GB"/>
        </w:rPr>
        <w:t xml:space="preserve"> gene when compared to control fibroblasts (as described in Herzog et al 2016) (n=46)</w:t>
      </w:r>
      <w:r w:rsidRPr="0021622D">
        <w:rPr>
          <w:rFonts w:ascii="Times New Roman" w:hAnsi="Times New Roman"/>
          <w:color w:val="000000" w:themeColor="text1"/>
          <w:sz w:val="24"/>
          <w:szCs w:val="24"/>
          <w:lang w:val="en-GB"/>
        </w:rPr>
        <w:t>.</w:t>
      </w:r>
    </w:p>
    <w:p w:rsidR="00923483" w:rsidRPr="0021622D" w:rsidRDefault="00923483" w:rsidP="00CF04CC">
      <w:pPr>
        <w:spacing w:line="360" w:lineRule="auto"/>
        <w:rPr>
          <w:rFonts w:ascii="Times New Roman" w:hAnsi="Times New Roman"/>
          <w:b/>
          <w:sz w:val="24"/>
          <w:szCs w:val="24"/>
          <w:lang w:val="en-US"/>
        </w:rPr>
      </w:pPr>
    </w:p>
    <w:sectPr w:rsidR="00923483" w:rsidRPr="0021622D">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C37" w:rsidRDefault="00361C37" w:rsidP="00CA07EC">
      <w:pPr>
        <w:spacing w:after="0" w:line="240" w:lineRule="auto"/>
      </w:pPr>
      <w:r>
        <w:separator/>
      </w:r>
    </w:p>
  </w:endnote>
  <w:endnote w:type="continuationSeparator" w:id="0">
    <w:p w:rsidR="00361C37" w:rsidRDefault="00361C37" w:rsidP="00CA0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346311"/>
      <w:docPartObj>
        <w:docPartGallery w:val="Page Numbers (Bottom of Page)"/>
        <w:docPartUnique/>
      </w:docPartObj>
    </w:sdtPr>
    <w:sdtEndPr/>
    <w:sdtContent>
      <w:p w:rsidR="00CA07EC" w:rsidRDefault="00CA07EC">
        <w:pPr>
          <w:pStyle w:val="Footer"/>
          <w:jc w:val="center"/>
        </w:pPr>
        <w:r>
          <w:fldChar w:fldCharType="begin"/>
        </w:r>
        <w:r>
          <w:instrText>PAGE   \* MERGEFORMAT</w:instrText>
        </w:r>
        <w:r>
          <w:fldChar w:fldCharType="separate"/>
        </w:r>
        <w:r w:rsidR="007A41F1">
          <w:rPr>
            <w:noProof/>
          </w:rPr>
          <w:t>6</w:t>
        </w:r>
        <w:r>
          <w:fldChar w:fldCharType="end"/>
        </w:r>
      </w:p>
    </w:sdtContent>
  </w:sdt>
  <w:p w:rsidR="00CA07EC" w:rsidRDefault="00CA0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C37" w:rsidRDefault="00361C37" w:rsidP="00CA07EC">
      <w:pPr>
        <w:spacing w:after="0" w:line="240" w:lineRule="auto"/>
      </w:pPr>
      <w:r>
        <w:separator/>
      </w:r>
    </w:p>
  </w:footnote>
  <w:footnote w:type="continuationSeparator" w:id="0">
    <w:p w:rsidR="00361C37" w:rsidRDefault="00361C37" w:rsidP="00CA07EC">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ederic Vaz">
    <w15:presenceInfo w15:providerId="Windows Live" w15:userId="f5271fd89b99ae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483"/>
    <w:rsid w:val="0021622D"/>
    <w:rsid w:val="002A0975"/>
    <w:rsid w:val="002A1E59"/>
    <w:rsid w:val="00361C37"/>
    <w:rsid w:val="00531E5C"/>
    <w:rsid w:val="0065172C"/>
    <w:rsid w:val="006D3387"/>
    <w:rsid w:val="006D7D93"/>
    <w:rsid w:val="0076664A"/>
    <w:rsid w:val="007A41F1"/>
    <w:rsid w:val="007E7ECB"/>
    <w:rsid w:val="009059B4"/>
    <w:rsid w:val="00923483"/>
    <w:rsid w:val="00CA07EC"/>
    <w:rsid w:val="00CF04CC"/>
    <w:rsid w:val="00E817B3"/>
    <w:rsid w:val="00FA18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7EC"/>
    <w:rPr>
      <w:rFonts w:ascii="Tahoma" w:hAnsi="Tahoma" w:cs="Tahoma"/>
      <w:sz w:val="16"/>
      <w:szCs w:val="16"/>
      <w:lang w:eastAsia="en-US"/>
    </w:rPr>
  </w:style>
  <w:style w:type="paragraph" w:styleId="Header">
    <w:name w:val="header"/>
    <w:basedOn w:val="Normal"/>
    <w:link w:val="HeaderChar"/>
    <w:uiPriority w:val="99"/>
    <w:unhideWhenUsed/>
    <w:rsid w:val="00CA07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A07EC"/>
    <w:rPr>
      <w:sz w:val="22"/>
      <w:szCs w:val="22"/>
      <w:lang w:eastAsia="en-US"/>
    </w:rPr>
  </w:style>
  <w:style w:type="paragraph" w:styleId="Footer">
    <w:name w:val="footer"/>
    <w:basedOn w:val="Normal"/>
    <w:link w:val="FooterChar"/>
    <w:uiPriority w:val="99"/>
    <w:unhideWhenUsed/>
    <w:rsid w:val="00CA07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A07EC"/>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7EC"/>
    <w:rPr>
      <w:rFonts w:ascii="Tahoma" w:hAnsi="Tahoma" w:cs="Tahoma"/>
      <w:sz w:val="16"/>
      <w:szCs w:val="16"/>
      <w:lang w:eastAsia="en-US"/>
    </w:rPr>
  </w:style>
  <w:style w:type="paragraph" w:styleId="Header">
    <w:name w:val="header"/>
    <w:basedOn w:val="Normal"/>
    <w:link w:val="HeaderChar"/>
    <w:uiPriority w:val="99"/>
    <w:unhideWhenUsed/>
    <w:rsid w:val="00CA07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A07EC"/>
    <w:rPr>
      <w:sz w:val="22"/>
      <w:szCs w:val="22"/>
      <w:lang w:eastAsia="en-US"/>
    </w:rPr>
  </w:style>
  <w:style w:type="paragraph" w:styleId="Footer">
    <w:name w:val="footer"/>
    <w:basedOn w:val="Normal"/>
    <w:link w:val="FooterChar"/>
    <w:uiPriority w:val="99"/>
    <w:unhideWhenUsed/>
    <w:rsid w:val="00CA07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A07E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789</Words>
  <Characters>4345</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AMC</Company>
  <LinksUpToDate>false</LinksUpToDate>
  <CharactersWithSpaces>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Herzog</dc:creator>
  <cp:lastModifiedBy>K. Herzog</cp:lastModifiedBy>
  <cp:revision>2</cp:revision>
  <dcterms:created xsi:type="dcterms:W3CDTF">2017-07-10T15:58:00Z</dcterms:created>
  <dcterms:modified xsi:type="dcterms:W3CDTF">2017-07-10T15:58:00Z</dcterms:modified>
</cp:coreProperties>
</file>