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98" w:rsidRDefault="00D43298" w:rsidP="00D43298">
      <w:pPr>
        <w:rPr>
          <w:rFonts w:ascii="Arial" w:hAnsi="Arial" w:cs="Arial"/>
          <w:sz w:val="22"/>
          <w:szCs w:val="22"/>
        </w:rPr>
      </w:pPr>
      <w:r w:rsidRPr="00D43298">
        <w:rPr>
          <w:rFonts w:ascii="Arial" w:hAnsi="Arial" w:cs="Arial"/>
          <w:sz w:val="22"/>
          <w:szCs w:val="22"/>
        </w:rPr>
        <w:t xml:space="preserve">Supplementary material to: </w:t>
      </w:r>
    </w:p>
    <w:p w:rsidR="00D43298" w:rsidRPr="00D43298" w:rsidRDefault="00D43298" w:rsidP="00D43298">
      <w:pPr>
        <w:rPr>
          <w:rFonts w:ascii="Arial" w:hAnsi="Arial" w:cs="Arial"/>
          <w:sz w:val="22"/>
          <w:szCs w:val="22"/>
        </w:rPr>
      </w:pPr>
    </w:p>
    <w:p w:rsidR="00D43298" w:rsidRPr="00D43298" w:rsidRDefault="00D43298" w:rsidP="00D43298">
      <w:pPr>
        <w:rPr>
          <w:rFonts w:ascii="Arial" w:hAnsi="Arial" w:cs="Arial"/>
          <w:sz w:val="22"/>
          <w:szCs w:val="22"/>
        </w:rPr>
      </w:pPr>
    </w:p>
    <w:p w:rsidR="00D43298" w:rsidRPr="00D43298" w:rsidRDefault="00D43298" w:rsidP="00D43298">
      <w:pPr>
        <w:rPr>
          <w:rFonts w:ascii="Arial" w:hAnsi="Arial" w:cs="Arial"/>
          <w:b/>
          <w:sz w:val="28"/>
        </w:rPr>
      </w:pPr>
      <w:r w:rsidRPr="00D43298">
        <w:rPr>
          <w:rFonts w:ascii="Arial" w:hAnsi="Arial" w:cs="Arial"/>
          <w:b/>
          <w:sz w:val="28"/>
        </w:rPr>
        <w:t>Cholic acid t</w:t>
      </w:r>
      <w:r w:rsidR="00032AD5">
        <w:rPr>
          <w:rFonts w:ascii="Arial" w:hAnsi="Arial" w:cs="Arial"/>
          <w:b/>
          <w:sz w:val="28"/>
        </w:rPr>
        <w:t>herapy</w:t>
      </w:r>
      <w:r w:rsidRPr="00D43298">
        <w:rPr>
          <w:rFonts w:ascii="Arial" w:hAnsi="Arial" w:cs="Arial"/>
          <w:b/>
          <w:sz w:val="28"/>
        </w:rPr>
        <w:t xml:space="preserve"> in Zellweger spectrum disorders </w:t>
      </w:r>
    </w:p>
    <w:p w:rsidR="00D43298" w:rsidRPr="00D43298" w:rsidRDefault="00D43298" w:rsidP="00D43298">
      <w:pPr>
        <w:rPr>
          <w:rFonts w:ascii="Arial" w:hAnsi="Arial" w:cs="Arial"/>
          <w:b/>
          <w:i/>
        </w:rPr>
      </w:pPr>
    </w:p>
    <w:p w:rsidR="00D43298" w:rsidRDefault="00D43298" w:rsidP="00D43298">
      <w:pPr>
        <w:spacing w:line="480" w:lineRule="auto"/>
        <w:rPr>
          <w:rFonts w:ascii="Arial" w:hAnsi="Arial" w:cs="Arial"/>
          <w:sz w:val="22"/>
          <w:szCs w:val="22"/>
        </w:rPr>
      </w:pPr>
      <w:r w:rsidRPr="00D43298">
        <w:rPr>
          <w:rFonts w:ascii="Arial" w:hAnsi="Arial" w:cs="Arial"/>
          <w:sz w:val="22"/>
          <w:szCs w:val="22"/>
        </w:rPr>
        <w:t>Kevin Berendse</w:t>
      </w:r>
      <w:r w:rsidRPr="00D43298">
        <w:rPr>
          <w:rFonts w:ascii="Arial" w:hAnsi="Arial" w:cs="Arial"/>
          <w:sz w:val="22"/>
          <w:szCs w:val="22"/>
          <w:vertAlign w:val="superscript"/>
        </w:rPr>
        <w:t>1, 2</w:t>
      </w:r>
      <w:r w:rsidRPr="00D43298">
        <w:rPr>
          <w:rFonts w:ascii="Arial" w:hAnsi="Arial" w:cs="Arial"/>
          <w:sz w:val="22"/>
          <w:szCs w:val="22"/>
        </w:rPr>
        <w:t xml:space="preserve"> ¶, Femke C. C. Klouwer</w:t>
      </w:r>
      <w:r w:rsidRPr="00D43298">
        <w:rPr>
          <w:rFonts w:ascii="Arial" w:hAnsi="Arial" w:cs="Arial"/>
          <w:sz w:val="22"/>
          <w:szCs w:val="22"/>
          <w:vertAlign w:val="superscript"/>
        </w:rPr>
        <w:t xml:space="preserve">1, 2 </w:t>
      </w:r>
      <w:r w:rsidR="001A0C4C">
        <w:rPr>
          <w:rFonts w:ascii="Arial" w:hAnsi="Arial" w:cs="Arial"/>
          <w:sz w:val="22"/>
          <w:szCs w:val="22"/>
        </w:rPr>
        <w:t>¶, Bart G</w:t>
      </w:r>
      <w:r w:rsidRPr="00D43298">
        <w:rPr>
          <w:rFonts w:ascii="Arial" w:hAnsi="Arial" w:cs="Arial"/>
          <w:sz w:val="22"/>
          <w:szCs w:val="22"/>
        </w:rPr>
        <w:t>.</w:t>
      </w:r>
      <w:r w:rsidR="001A0C4C">
        <w:rPr>
          <w:rFonts w:ascii="Arial" w:hAnsi="Arial" w:cs="Arial"/>
          <w:sz w:val="22"/>
          <w:szCs w:val="22"/>
        </w:rPr>
        <w:t>P.</w:t>
      </w:r>
      <w:r w:rsidRPr="00D43298">
        <w:rPr>
          <w:rFonts w:ascii="Arial" w:hAnsi="Arial" w:cs="Arial"/>
          <w:sz w:val="22"/>
          <w:szCs w:val="22"/>
        </w:rPr>
        <w:t xml:space="preserve"> Koot</w:t>
      </w:r>
      <w:r w:rsidRPr="00D43298">
        <w:rPr>
          <w:rFonts w:ascii="Arial" w:hAnsi="Arial" w:cs="Arial"/>
          <w:sz w:val="22"/>
          <w:szCs w:val="22"/>
          <w:vertAlign w:val="superscript"/>
        </w:rPr>
        <w:t>3</w:t>
      </w:r>
      <w:r w:rsidRPr="00D43298">
        <w:rPr>
          <w:rFonts w:ascii="Arial" w:hAnsi="Arial" w:cs="Arial"/>
          <w:sz w:val="22"/>
          <w:szCs w:val="22"/>
        </w:rPr>
        <w:t xml:space="preserve"> ¶, Elles M. Kemper</w:t>
      </w:r>
      <w:r w:rsidRPr="00D43298">
        <w:rPr>
          <w:rFonts w:ascii="Arial" w:hAnsi="Arial" w:cs="Arial"/>
          <w:sz w:val="22"/>
          <w:szCs w:val="22"/>
          <w:vertAlign w:val="superscript"/>
        </w:rPr>
        <w:t>4</w:t>
      </w:r>
      <w:r w:rsidRPr="00D43298">
        <w:rPr>
          <w:rFonts w:ascii="Arial" w:hAnsi="Arial" w:cs="Arial"/>
          <w:sz w:val="22"/>
          <w:szCs w:val="22"/>
        </w:rPr>
        <w:t>, Sacha Ferdinandusse</w:t>
      </w:r>
      <w:r w:rsidRPr="00D43298">
        <w:rPr>
          <w:rFonts w:ascii="Arial" w:hAnsi="Arial" w:cs="Arial"/>
          <w:sz w:val="22"/>
          <w:szCs w:val="22"/>
          <w:vertAlign w:val="superscript"/>
        </w:rPr>
        <w:t>2</w:t>
      </w:r>
      <w:r w:rsidRPr="00D43298">
        <w:rPr>
          <w:rFonts w:ascii="Arial" w:hAnsi="Arial" w:cs="Arial"/>
          <w:sz w:val="22"/>
          <w:szCs w:val="22"/>
        </w:rPr>
        <w:t>, Kiran V.K. Koelfat</w:t>
      </w:r>
      <w:r w:rsidRPr="00D43298">
        <w:rPr>
          <w:rFonts w:ascii="Arial" w:hAnsi="Arial" w:cs="Arial"/>
          <w:sz w:val="22"/>
          <w:szCs w:val="22"/>
          <w:vertAlign w:val="superscript"/>
        </w:rPr>
        <w:t>5</w:t>
      </w:r>
      <w:r w:rsidRPr="00D43298">
        <w:rPr>
          <w:rFonts w:ascii="Arial" w:hAnsi="Arial" w:cs="Arial"/>
          <w:sz w:val="22"/>
          <w:szCs w:val="22"/>
        </w:rPr>
        <w:t>, Martin Lenicek</w:t>
      </w:r>
      <w:r w:rsidRPr="00D43298">
        <w:rPr>
          <w:rFonts w:ascii="Arial" w:hAnsi="Arial" w:cs="Arial"/>
          <w:sz w:val="22"/>
          <w:szCs w:val="22"/>
          <w:vertAlign w:val="superscript"/>
        </w:rPr>
        <w:t xml:space="preserve">6, </w:t>
      </w:r>
      <w:r w:rsidRPr="00D43298">
        <w:rPr>
          <w:rFonts w:ascii="Arial" w:hAnsi="Arial" w:cs="Arial"/>
          <w:sz w:val="22"/>
          <w:szCs w:val="22"/>
        </w:rPr>
        <w:t>Frank G. Schaap</w:t>
      </w:r>
      <w:r w:rsidRPr="00D43298">
        <w:rPr>
          <w:rFonts w:ascii="Arial" w:hAnsi="Arial" w:cs="Arial"/>
          <w:sz w:val="22"/>
          <w:szCs w:val="22"/>
          <w:vertAlign w:val="superscript"/>
        </w:rPr>
        <w:t>5</w:t>
      </w:r>
      <w:r w:rsidRPr="00D43298">
        <w:rPr>
          <w:rFonts w:ascii="Arial" w:hAnsi="Arial" w:cs="Arial"/>
          <w:sz w:val="22"/>
          <w:szCs w:val="22"/>
        </w:rPr>
        <w:t>, Hans R. Waterham</w:t>
      </w:r>
      <w:r w:rsidRPr="00D43298">
        <w:rPr>
          <w:rFonts w:ascii="Arial" w:hAnsi="Arial" w:cs="Arial"/>
          <w:sz w:val="22"/>
          <w:szCs w:val="22"/>
          <w:vertAlign w:val="superscript"/>
        </w:rPr>
        <w:t>2</w:t>
      </w:r>
      <w:r w:rsidRPr="00D43298">
        <w:rPr>
          <w:rFonts w:ascii="Arial" w:hAnsi="Arial" w:cs="Arial"/>
          <w:sz w:val="22"/>
          <w:szCs w:val="22"/>
        </w:rPr>
        <w:t>, Frédéric M. Vaz</w:t>
      </w:r>
      <w:r w:rsidRPr="00D43298">
        <w:rPr>
          <w:rFonts w:ascii="Arial" w:hAnsi="Arial" w:cs="Arial"/>
          <w:sz w:val="22"/>
          <w:szCs w:val="22"/>
          <w:vertAlign w:val="superscript"/>
        </w:rPr>
        <w:t>2</w:t>
      </w:r>
      <w:r w:rsidRPr="00D43298">
        <w:rPr>
          <w:rFonts w:ascii="Arial" w:hAnsi="Arial" w:cs="Arial"/>
          <w:sz w:val="22"/>
          <w:szCs w:val="22"/>
        </w:rPr>
        <w:t>, Marc Engelen</w:t>
      </w:r>
      <w:r w:rsidRPr="00D43298">
        <w:rPr>
          <w:rFonts w:ascii="Arial" w:hAnsi="Arial" w:cs="Arial"/>
          <w:sz w:val="22"/>
          <w:szCs w:val="22"/>
          <w:vertAlign w:val="superscript"/>
        </w:rPr>
        <w:t>1</w:t>
      </w:r>
      <w:r w:rsidRPr="00D43298">
        <w:rPr>
          <w:rFonts w:ascii="Arial" w:hAnsi="Arial" w:cs="Arial"/>
          <w:sz w:val="22"/>
          <w:szCs w:val="22"/>
        </w:rPr>
        <w:t>, Peter L.M. Jansen</w:t>
      </w:r>
      <w:r w:rsidRPr="00D43298">
        <w:rPr>
          <w:rFonts w:ascii="Arial" w:hAnsi="Arial" w:cs="Arial"/>
          <w:sz w:val="22"/>
          <w:szCs w:val="22"/>
          <w:vertAlign w:val="superscript"/>
        </w:rPr>
        <w:t>7</w:t>
      </w:r>
      <w:r w:rsidRPr="00D43298">
        <w:rPr>
          <w:rFonts w:ascii="Arial" w:hAnsi="Arial" w:cs="Arial"/>
          <w:sz w:val="22"/>
          <w:szCs w:val="22"/>
        </w:rPr>
        <w:t>, Ronald J.A. Wanders</w:t>
      </w:r>
      <w:r w:rsidRPr="00D43298">
        <w:rPr>
          <w:rFonts w:ascii="Arial" w:hAnsi="Arial" w:cs="Arial"/>
          <w:sz w:val="22"/>
          <w:szCs w:val="22"/>
          <w:vertAlign w:val="superscript"/>
        </w:rPr>
        <w:t>2</w:t>
      </w:r>
      <w:r w:rsidRPr="00D43298">
        <w:rPr>
          <w:rFonts w:ascii="Arial" w:hAnsi="Arial" w:cs="Arial"/>
          <w:sz w:val="22"/>
          <w:szCs w:val="22"/>
        </w:rPr>
        <w:t>,</w:t>
      </w:r>
      <w:r w:rsidRPr="00D43298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D43298">
        <w:rPr>
          <w:rFonts w:ascii="Arial" w:hAnsi="Arial" w:cs="Arial"/>
          <w:sz w:val="22"/>
          <w:szCs w:val="22"/>
        </w:rPr>
        <w:t>Bwee Tien Poll-The</w:t>
      </w:r>
      <w:r w:rsidRPr="00D43298">
        <w:rPr>
          <w:rFonts w:ascii="Arial" w:hAnsi="Arial" w:cs="Arial"/>
          <w:sz w:val="22"/>
          <w:szCs w:val="22"/>
          <w:vertAlign w:val="superscript"/>
        </w:rPr>
        <w:t>1</w:t>
      </w:r>
      <w:r w:rsidRPr="00D43298">
        <w:rPr>
          <w:rFonts w:ascii="Arial" w:hAnsi="Arial" w:cs="Arial"/>
          <w:sz w:val="22"/>
          <w:szCs w:val="22"/>
        </w:rPr>
        <w:t xml:space="preserve"> *</w:t>
      </w:r>
    </w:p>
    <w:p w:rsidR="00CC404B" w:rsidRPr="00D43298" w:rsidRDefault="00CC404B" w:rsidP="00D43298">
      <w:pPr>
        <w:spacing w:line="480" w:lineRule="auto"/>
        <w:rPr>
          <w:rFonts w:ascii="Arial" w:hAnsi="Arial" w:cs="Arial"/>
          <w:sz w:val="22"/>
          <w:szCs w:val="22"/>
        </w:rPr>
      </w:pPr>
    </w:p>
    <w:p w:rsidR="00D43298" w:rsidRPr="00D43298" w:rsidRDefault="00D43298" w:rsidP="00D43298">
      <w:pPr>
        <w:spacing w:line="480" w:lineRule="auto"/>
        <w:outlineLvl w:val="0"/>
        <w:rPr>
          <w:rFonts w:ascii="Arial" w:hAnsi="Arial" w:cs="Arial"/>
          <w:sz w:val="22"/>
          <w:szCs w:val="22"/>
          <w:lang w:val="en-GB"/>
        </w:rPr>
      </w:pPr>
      <w:r w:rsidRPr="00D43298">
        <w:rPr>
          <w:rFonts w:ascii="Arial" w:hAnsi="Arial" w:cs="Arial"/>
          <w:sz w:val="22"/>
          <w:szCs w:val="22"/>
          <w:lang w:val="en-GB"/>
        </w:rPr>
        <w:t>¶ Equal contributors</w:t>
      </w:r>
    </w:p>
    <w:p w:rsidR="00D43298" w:rsidRDefault="00D43298" w:rsidP="00D43298">
      <w:pPr>
        <w:spacing w:line="480" w:lineRule="auto"/>
        <w:rPr>
          <w:rFonts w:ascii="Arial" w:hAnsi="Arial" w:cs="Arial"/>
          <w:sz w:val="22"/>
          <w:szCs w:val="22"/>
          <w:vertAlign w:val="superscript"/>
          <w:lang w:val="en-GB"/>
        </w:rPr>
      </w:pPr>
    </w:p>
    <w:p w:rsidR="00D43298" w:rsidRPr="00D43298" w:rsidRDefault="00D43298" w:rsidP="00D43298">
      <w:pPr>
        <w:spacing w:line="480" w:lineRule="auto"/>
        <w:rPr>
          <w:rFonts w:ascii="Arial" w:hAnsi="Arial" w:cs="Arial"/>
          <w:sz w:val="22"/>
          <w:szCs w:val="22"/>
          <w:lang w:val="en-GB"/>
        </w:rPr>
      </w:pPr>
      <w:r w:rsidRPr="00D43298">
        <w:rPr>
          <w:rFonts w:ascii="Arial" w:hAnsi="Arial" w:cs="Arial"/>
          <w:sz w:val="22"/>
          <w:szCs w:val="22"/>
          <w:vertAlign w:val="superscript"/>
          <w:lang w:val="en-GB"/>
        </w:rPr>
        <w:t xml:space="preserve">1 </w:t>
      </w:r>
      <w:r w:rsidRPr="00D43298">
        <w:rPr>
          <w:rFonts w:ascii="Arial" w:hAnsi="Arial" w:cs="Arial"/>
          <w:sz w:val="22"/>
          <w:szCs w:val="22"/>
          <w:lang w:val="en-GB"/>
        </w:rPr>
        <w:t xml:space="preserve">Department of Pediatric Neurology, Emma Children’s Hospital/Academic Medical Center , University of  Amsterdam, The Netherlands. </w:t>
      </w:r>
      <w:r w:rsidRPr="00D43298">
        <w:rPr>
          <w:rFonts w:ascii="Arial" w:hAnsi="Arial" w:cs="Arial"/>
          <w:sz w:val="22"/>
          <w:szCs w:val="22"/>
          <w:vertAlign w:val="superscript"/>
          <w:lang w:val="en-GB"/>
        </w:rPr>
        <w:t xml:space="preserve">2 </w:t>
      </w:r>
      <w:r w:rsidRPr="00D43298">
        <w:rPr>
          <w:rFonts w:ascii="Arial" w:hAnsi="Arial" w:cs="Arial"/>
          <w:sz w:val="22"/>
          <w:szCs w:val="22"/>
          <w:lang w:val="en-GB"/>
        </w:rPr>
        <w:t xml:space="preserve">Laboratory Genetic Metabolic Diseases, Academic Medical Center, University of Amsterdam, The Netherlands. </w:t>
      </w:r>
      <w:r w:rsidRPr="00D43298">
        <w:rPr>
          <w:rFonts w:ascii="Arial" w:hAnsi="Arial" w:cs="Arial"/>
          <w:sz w:val="22"/>
          <w:szCs w:val="22"/>
          <w:vertAlign w:val="superscript"/>
          <w:lang w:val="en-GB"/>
        </w:rPr>
        <w:t xml:space="preserve">3 </w:t>
      </w:r>
      <w:r w:rsidRPr="00D43298">
        <w:rPr>
          <w:rFonts w:ascii="Arial" w:hAnsi="Arial" w:cs="Arial"/>
          <w:sz w:val="22"/>
          <w:szCs w:val="22"/>
          <w:lang w:val="en-GB"/>
        </w:rPr>
        <w:t xml:space="preserve">Department of Pediatric Gastroenterology, Emma Children’s hospital/ Academic Medical Center, University of Amsterdam, The Netherlands. </w:t>
      </w:r>
      <w:r w:rsidRPr="00D43298">
        <w:rPr>
          <w:rFonts w:ascii="Arial" w:hAnsi="Arial" w:cs="Arial"/>
          <w:sz w:val="22"/>
          <w:szCs w:val="22"/>
          <w:vertAlign w:val="superscript"/>
          <w:lang w:val="en-GB"/>
        </w:rPr>
        <w:t xml:space="preserve">4 </w:t>
      </w:r>
      <w:r w:rsidRPr="00D43298">
        <w:rPr>
          <w:rFonts w:ascii="Arial" w:hAnsi="Arial" w:cs="Arial"/>
          <w:sz w:val="22"/>
          <w:szCs w:val="22"/>
          <w:lang w:val="en-GB"/>
        </w:rPr>
        <w:t xml:space="preserve">Department of Pharmacy, Academic Medical Center, University of Amsterdam, The Netherlands. </w:t>
      </w:r>
      <w:r w:rsidRPr="00D43298">
        <w:rPr>
          <w:rFonts w:ascii="Arial" w:hAnsi="Arial" w:cs="Arial"/>
          <w:sz w:val="22"/>
          <w:szCs w:val="22"/>
          <w:vertAlign w:val="superscript"/>
          <w:lang w:val="en-GB"/>
        </w:rPr>
        <w:t xml:space="preserve">5 </w:t>
      </w:r>
      <w:r w:rsidRPr="00D43298">
        <w:rPr>
          <w:rFonts w:ascii="Arial" w:hAnsi="Arial" w:cs="Arial"/>
          <w:sz w:val="22"/>
          <w:szCs w:val="22"/>
          <w:lang w:val="en-GB"/>
        </w:rPr>
        <w:t xml:space="preserve"> Department of Surgery, Maastricht University, The Netherlands. </w:t>
      </w:r>
      <w:r w:rsidRPr="00D43298">
        <w:rPr>
          <w:rFonts w:ascii="Arial" w:hAnsi="Arial" w:cs="Arial"/>
          <w:sz w:val="22"/>
          <w:szCs w:val="22"/>
          <w:vertAlign w:val="superscript"/>
          <w:lang w:val="en-GB"/>
        </w:rPr>
        <w:t xml:space="preserve">6 </w:t>
      </w:r>
      <w:r w:rsidRPr="00D43298">
        <w:rPr>
          <w:rFonts w:ascii="Arial" w:hAnsi="Arial" w:cs="Arial"/>
          <w:sz w:val="22"/>
          <w:szCs w:val="22"/>
          <w:lang w:val="en-US"/>
        </w:rPr>
        <w:t>Department of Medical Biochemistry and Laboratory Diagnostics, 1</w:t>
      </w:r>
      <w:r w:rsidRPr="00D43298">
        <w:rPr>
          <w:rFonts w:ascii="Arial" w:hAnsi="Arial" w:cs="Arial"/>
          <w:sz w:val="22"/>
          <w:szCs w:val="22"/>
          <w:vertAlign w:val="superscript"/>
          <w:lang w:val="en-US"/>
        </w:rPr>
        <w:t>st</w:t>
      </w:r>
      <w:r w:rsidRPr="00D43298">
        <w:rPr>
          <w:rFonts w:ascii="Arial" w:hAnsi="Arial" w:cs="Arial"/>
          <w:sz w:val="22"/>
          <w:szCs w:val="22"/>
          <w:lang w:val="en-US"/>
        </w:rPr>
        <w:t xml:space="preserve"> Faculty of Medicine, Charles University in Prague, Czech Republic.</w:t>
      </w:r>
      <w:r w:rsidRPr="00D43298">
        <w:rPr>
          <w:rFonts w:ascii="Arial" w:hAnsi="Arial" w:cs="Arial"/>
          <w:sz w:val="22"/>
          <w:szCs w:val="22"/>
          <w:lang w:val="en-GB"/>
        </w:rPr>
        <w:t xml:space="preserve"> </w:t>
      </w:r>
      <w:r w:rsidRPr="00D43298">
        <w:rPr>
          <w:rFonts w:ascii="Arial" w:hAnsi="Arial" w:cs="Arial"/>
          <w:sz w:val="22"/>
          <w:szCs w:val="22"/>
          <w:vertAlign w:val="superscript"/>
          <w:lang w:val="en-GB"/>
        </w:rPr>
        <w:t>7</w:t>
      </w:r>
      <w:r w:rsidRPr="00D43298">
        <w:rPr>
          <w:rFonts w:ascii="Arial" w:hAnsi="Arial" w:cs="Arial"/>
          <w:sz w:val="22"/>
          <w:szCs w:val="22"/>
          <w:lang w:val="en-GB"/>
        </w:rPr>
        <w:t xml:space="preserve"> Department of Gastroenterology and Hepatology, Academic Medical Center, University of Amsterdam, The Netherlands. </w:t>
      </w:r>
    </w:p>
    <w:p w:rsidR="00D43298" w:rsidRDefault="00D43298" w:rsidP="00D43298">
      <w:pPr>
        <w:spacing w:line="480" w:lineRule="auto"/>
        <w:rPr>
          <w:rFonts w:ascii="Arial" w:hAnsi="Arial" w:cs="Arial"/>
          <w:sz w:val="22"/>
          <w:szCs w:val="22"/>
          <w:lang w:val="en-GB"/>
        </w:rPr>
      </w:pPr>
    </w:p>
    <w:p w:rsidR="00D43298" w:rsidRPr="00D43298" w:rsidRDefault="00D43298" w:rsidP="00D43298">
      <w:pPr>
        <w:spacing w:line="480" w:lineRule="auto"/>
        <w:rPr>
          <w:rFonts w:ascii="Arial" w:hAnsi="Arial" w:cs="Arial"/>
          <w:sz w:val="22"/>
          <w:szCs w:val="22"/>
          <w:lang w:val="en-GB"/>
        </w:rPr>
      </w:pPr>
      <w:r w:rsidRPr="00D43298">
        <w:rPr>
          <w:rFonts w:ascii="Arial" w:hAnsi="Arial" w:cs="Arial"/>
          <w:sz w:val="22"/>
          <w:szCs w:val="22"/>
          <w:lang w:val="en-GB"/>
        </w:rPr>
        <w:t>*Corresponding author:</w:t>
      </w:r>
      <w:r w:rsidRPr="00D43298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D43298">
        <w:rPr>
          <w:rFonts w:ascii="Arial" w:hAnsi="Arial" w:cs="Arial"/>
          <w:sz w:val="22"/>
          <w:szCs w:val="22"/>
          <w:lang w:val="en-GB"/>
        </w:rPr>
        <w:t>Bwee Tien Poll-The, Department of Pediatric Neurology, Emma Children’s Hospital, Academic Medical Center, University of Amsterdam, Meibergdreef 9, 1105 AZ Amsterdam, The Netherlands. Phone: +31-20-5667508. Email: b.t.pollthe@amc.uva.nl</w:t>
      </w:r>
    </w:p>
    <w:p w:rsidR="00D43298" w:rsidRPr="00D43298" w:rsidRDefault="00D43298" w:rsidP="00D43298">
      <w:pPr>
        <w:rPr>
          <w:rFonts w:ascii="Arial" w:hAnsi="Arial" w:cs="Arial"/>
          <w:sz w:val="22"/>
          <w:szCs w:val="22"/>
          <w:lang w:val="en-GB"/>
        </w:rPr>
      </w:pPr>
    </w:p>
    <w:p w:rsidR="00D43298" w:rsidRDefault="00D432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D43298" w:rsidRPr="00D43298" w:rsidRDefault="00D43298" w:rsidP="00D43298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D43298">
        <w:rPr>
          <w:rFonts w:ascii="Arial" w:hAnsi="Arial" w:cs="Arial"/>
          <w:b/>
          <w:sz w:val="22"/>
          <w:szCs w:val="22"/>
        </w:rPr>
        <w:lastRenderedPageBreak/>
        <w:t>LC-MS measurement of 7α-hydroxy-4-cholesten-3-one (C4)</w:t>
      </w:r>
    </w:p>
    <w:p w:rsidR="00D43298" w:rsidRDefault="00D43298" w:rsidP="00D43298">
      <w:pPr>
        <w:spacing w:line="480" w:lineRule="auto"/>
        <w:rPr>
          <w:rFonts w:ascii="Arial" w:hAnsi="Arial" w:cs="Arial"/>
          <w:sz w:val="22"/>
          <w:szCs w:val="22"/>
        </w:rPr>
      </w:pPr>
    </w:p>
    <w:p w:rsidR="008412EB" w:rsidRPr="00D43298" w:rsidRDefault="008412EB" w:rsidP="00D43298">
      <w:pPr>
        <w:spacing w:line="480" w:lineRule="auto"/>
        <w:rPr>
          <w:rFonts w:ascii="Arial" w:hAnsi="Arial" w:cs="Arial"/>
          <w:sz w:val="22"/>
          <w:szCs w:val="22"/>
        </w:rPr>
      </w:pPr>
      <w:r w:rsidRPr="00D43298">
        <w:rPr>
          <w:rFonts w:ascii="Arial" w:hAnsi="Arial" w:cs="Arial"/>
          <w:sz w:val="22"/>
          <w:szCs w:val="22"/>
        </w:rPr>
        <w:t>Material</w:t>
      </w:r>
    </w:p>
    <w:p w:rsidR="008412EB" w:rsidRPr="00D43298" w:rsidRDefault="008412EB" w:rsidP="00D43298">
      <w:pPr>
        <w:pStyle w:val="Default"/>
        <w:spacing w:after="164" w:line="480" w:lineRule="auto"/>
        <w:rPr>
          <w:rFonts w:ascii="Arial" w:hAnsi="Arial" w:cs="Arial"/>
          <w:sz w:val="22"/>
          <w:szCs w:val="22"/>
        </w:rPr>
      </w:pPr>
      <w:r w:rsidRPr="00D43298">
        <w:rPr>
          <w:rFonts w:ascii="Arial" w:hAnsi="Arial" w:cs="Arial"/>
          <w:sz w:val="22"/>
          <w:szCs w:val="22"/>
        </w:rPr>
        <w:t xml:space="preserve">LC-MS grade methanol (Biosolve BV, The Netherlands), LC-MS grade ammonium acetate (Sigma-Aldrich, USA) </w:t>
      </w:r>
    </w:p>
    <w:p w:rsidR="008412EB" w:rsidRPr="00D43298" w:rsidRDefault="008412EB" w:rsidP="00D43298">
      <w:pPr>
        <w:spacing w:line="480" w:lineRule="auto"/>
        <w:rPr>
          <w:rFonts w:ascii="Arial" w:hAnsi="Arial" w:cs="Arial"/>
          <w:sz w:val="22"/>
          <w:szCs w:val="22"/>
        </w:rPr>
      </w:pPr>
    </w:p>
    <w:p w:rsidR="008412EB" w:rsidRPr="00D43298" w:rsidRDefault="008412EB" w:rsidP="00D43298">
      <w:pPr>
        <w:spacing w:line="480" w:lineRule="auto"/>
        <w:rPr>
          <w:rFonts w:ascii="Arial" w:hAnsi="Arial" w:cs="Arial"/>
          <w:sz w:val="22"/>
          <w:szCs w:val="22"/>
        </w:rPr>
      </w:pPr>
      <w:r w:rsidRPr="00D43298">
        <w:rPr>
          <w:rFonts w:ascii="Arial" w:hAnsi="Arial" w:cs="Arial"/>
          <w:sz w:val="22"/>
          <w:szCs w:val="22"/>
        </w:rPr>
        <w:t>Methods</w:t>
      </w:r>
    </w:p>
    <w:p w:rsidR="008412EB" w:rsidRPr="00D43298" w:rsidRDefault="008412EB" w:rsidP="00D43298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43298">
        <w:rPr>
          <w:rFonts w:ascii="Arial" w:hAnsi="Arial" w:cs="Arial"/>
          <w:sz w:val="22"/>
          <w:szCs w:val="22"/>
        </w:rPr>
        <w:t>One hundred microliters of serum and 2 ng of internal standard (7α-Hydroxy-4-cholesten-3-one d7, Santa Cruz Biotechnology, USA) in 40 µL of methanol were mixed and extracted as previously reported</w:t>
      </w:r>
      <w:r w:rsidR="00DB4180">
        <w:rPr>
          <w:rFonts w:ascii="Arial" w:hAnsi="Arial" w:cs="Arial"/>
          <w:sz w:val="22"/>
          <w:szCs w:val="22"/>
        </w:rPr>
        <w:t xml:space="preserve"> (Lenicek et al</w:t>
      </w:r>
      <w:r w:rsidR="00704BED">
        <w:rPr>
          <w:rFonts w:ascii="Arial" w:hAnsi="Arial" w:cs="Arial"/>
          <w:sz w:val="22"/>
          <w:szCs w:val="22"/>
        </w:rPr>
        <w:t xml:space="preserve"> 2008)</w:t>
      </w:r>
      <w:r w:rsidRPr="00D43298">
        <w:rPr>
          <w:rFonts w:ascii="Arial" w:hAnsi="Arial" w:cs="Arial"/>
          <w:sz w:val="22"/>
          <w:szCs w:val="22"/>
        </w:rPr>
        <w:t>. Purified sample was dissolved in 50 µL of 75% methanol, 15 µL were injected on HPLC system (Dionex Ultimate 3000, Dionex Softron GmbH, Germany) equipped with Hypersil GOLD column (150x2.1 mm, 3 µm, Thermo Scientific, USA) and SecurityGuard column (Phenomenex, USA). Sample was eluted with methanol:water:ammonium acetate (flow rate 0.3 mL/</w:t>
      </w:r>
      <w:bookmarkStart w:id="0" w:name="_GoBack"/>
      <w:bookmarkEnd w:id="0"/>
      <w:r w:rsidRPr="00D43298">
        <w:rPr>
          <w:rFonts w:ascii="Arial" w:hAnsi="Arial" w:cs="Arial"/>
          <w:sz w:val="22"/>
          <w:szCs w:val="22"/>
        </w:rPr>
        <w:t xml:space="preserve">min) at 40°C. While ammonium acetate concentration was kept at 0.1% (w/v) at all times, methanol concentrations (v/v) were as follows: 1.-8. min 82 %-90 %; 8.-10. min 90 %; 10.-12. min 99 %; 12.-17. min 82 %. Triple quadrupole mass spectrometer (TSQ Quantum Access Max with H-ESI II probe, Thermo Fisher Scientific, Inc., USA) operating in SIM mode served as detector. Transitions used for monitoring of C4 and internal standard were: m/z 401.4 </w:t>
      </w:r>
      <w:r w:rsidRPr="00D43298">
        <w:rPr>
          <w:rFonts w:ascii="Arial" w:hAnsi="Arial" w:cs="Arial"/>
          <w:sz w:val="22"/>
          <w:szCs w:val="22"/>
        </w:rPr>
        <w:sym w:font="Symbol" w:char="F0AE"/>
      </w:r>
      <w:r w:rsidRPr="00D43298">
        <w:rPr>
          <w:rFonts w:ascii="Arial" w:hAnsi="Arial" w:cs="Arial"/>
          <w:sz w:val="22"/>
          <w:szCs w:val="22"/>
        </w:rPr>
        <w:t xml:space="preserve"> 177.3, 401.4 </w:t>
      </w:r>
      <w:r w:rsidRPr="00D43298">
        <w:rPr>
          <w:rFonts w:ascii="Arial" w:hAnsi="Arial" w:cs="Arial"/>
          <w:sz w:val="22"/>
          <w:szCs w:val="22"/>
        </w:rPr>
        <w:sym w:font="Symbol" w:char="F0AE"/>
      </w:r>
      <w:r w:rsidRPr="00D43298">
        <w:rPr>
          <w:rFonts w:ascii="Arial" w:hAnsi="Arial" w:cs="Arial"/>
          <w:sz w:val="22"/>
          <w:szCs w:val="22"/>
        </w:rPr>
        <w:t xml:space="preserve"> 383.6 and 408.4 </w:t>
      </w:r>
      <w:r w:rsidRPr="00D43298">
        <w:rPr>
          <w:rFonts w:ascii="Arial" w:hAnsi="Arial" w:cs="Arial"/>
          <w:sz w:val="22"/>
          <w:szCs w:val="22"/>
        </w:rPr>
        <w:sym w:font="Symbol" w:char="F0AE"/>
      </w:r>
      <w:r w:rsidRPr="00D43298">
        <w:rPr>
          <w:rFonts w:ascii="Arial" w:hAnsi="Arial" w:cs="Arial"/>
          <w:sz w:val="22"/>
          <w:szCs w:val="22"/>
        </w:rPr>
        <w:t xml:space="preserve"> 184.3, 408.4 </w:t>
      </w:r>
      <w:r w:rsidRPr="00D43298">
        <w:rPr>
          <w:rFonts w:ascii="Arial" w:hAnsi="Arial" w:cs="Arial"/>
          <w:sz w:val="22"/>
          <w:szCs w:val="22"/>
        </w:rPr>
        <w:sym w:font="Symbol" w:char="F0AE"/>
      </w:r>
      <w:r w:rsidRPr="00D43298">
        <w:rPr>
          <w:rFonts w:ascii="Arial" w:hAnsi="Arial" w:cs="Arial"/>
          <w:sz w:val="22"/>
          <w:szCs w:val="22"/>
        </w:rPr>
        <w:t xml:space="preserve"> 390.6, respectively.</w:t>
      </w:r>
    </w:p>
    <w:p w:rsidR="008412EB" w:rsidRPr="00D43298" w:rsidRDefault="008412EB" w:rsidP="008412EB">
      <w:pPr>
        <w:rPr>
          <w:rFonts w:ascii="Arial" w:hAnsi="Arial" w:cs="Arial"/>
          <w:sz w:val="22"/>
          <w:szCs w:val="22"/>
        </w:rPr>
      </w:pPr>
    </w:p>
    <w:p w:rsidR="008412EB" w:rsidRPr="00D43298" w:rsidRDefault="008412EB" w:rsidP="008412EB">
      <w:pPr>
        <w:rPr>
          <w:rFonts w:ascii="Arial" w:hAnsi="Arial" w:cs="Arial"/>
          <w:sz w:val="22"/>
          <w:szCs w:val="22"/>
        </w:rPr>
      </w:pPr>
    </w:p>
    <w:p w:rsidR="008412EB" w:rsidRDefault="00A83DF8" w:rsidP="00704BED">
      <w:pPr>
        <w:rPr>
          <w:rFonts w:ascii="Arial" w:hAnsi="Arial" w:cs="Arial"/>
          <w:sz w:val="22"/>
          <w:szCs w:val="22"/>
        </w:rPr>
      </w:pPr>
      <w:r w:rsidRPr="00D43298">
        <w:rPr>
          <w:rFonts w:ascii="Arial" w:hAnsi="Arial" w:cs="Arial"/>
          <w:sz w:val="22"/>
          <w:szCs w:val="22"/>
        </w:rPr>
        <w:fldChar w:fldCharType="begin"/>
      </w:r>
      <w:r w:rsidR="008412EB" w:rsidRPr="00704BED">
        <w:rPr>
          <w:rFonts w:ascii="Arial" w:hAnsi="Arial" w:cs="Arial"/>
          <w:sz w:val="22"/>
          <w:szCs w:val="22"/>
        </w:rPr>
        <w:instrText xml:space="preserve"> ADDIN REFMGR.REFLIST </w:instrText>
      </w:r>
      <w:r w:rsidRPr="00D43298">
        <w:rPr>
          <w:rFonts w:ascii="Arial" w:hAnsi="Arial" w:cs="Arial"/>
          <w:sz w:val="22"/>
          <w:szCs w:val="22"/>
        </w:rPr>
        <w:fldChar w:fldCharType="separate"/>
      </w:r>
      <w:r w:rsidR="00704BED">
        <w:rPr>
          <w:rFonts w:ascii="Arial" w:hAnsi="Arial" w:cs="Arial"/>
          <w:sz w:val="22"/>
          <w:szCs w:val="22"/>
        </w:rPr>
        <w:t xml:space="preserve">References </w:t>
      </w:r>
    </w:p>
    <w:p w:rsidR="00704BED" w:rsidRPr="00704BED" w:rsidRDefault="00704BED" w:rsidP="00704BED">
      <w:pPr>
        <w:rPr>
          <w:rFonts w:ascii="Arial" w:hAnsi="Arial" w:cs="Arial"/>
          <w:sz w:val="22"/>
          <w:szCs w:val="22"/>
        </w:rPr>
      </w:pPr>
    </w:p>
    <w:p w:rsidR="008412EB" w:rsidRPr="00D43298" w:rsidRDefault="008412EB" w:rsidP="008412EB">
      <w:pPr>
        <w:jc w:val="center"/>
        <w:rPr>
          <w:rFonts w:ascii="Arial" w:hAnsi="Arial" w:cs="Arial"/>
          <w:sz w:val="22"/>
          <w:szCs w:val="22"/>
        </w:rPr>
      </w:pPr>
    </w:p>
    <w:p w:rsidR="008412EB" w:rsidRPr="00D43298" w:rsidRDefault="00704BED" w:rsidP="008412EB">
      <w:pPr>
        <w:tabs>
          <w:tab w:val="right" w:pos="360"/>
          <w:tab w:val="left" w:pos="540"/>
        </w:tabs>
        <w:spacing w:line="480" w:lineRule="auto"/>
        <w:ind w:left="54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412EB" w:rsidRPr="00D43298">
        <w:rPr>
          <w:rFonts w:ascii="Arial" w:hAnsi="Arial" w:cs="Arial"/>
          <w:sz w:val="22"/>
          <w:szCs w:val="22"/>
        </w:rPr>
        <w:t xml:space="preserve">Lenicek M, Juklova M, Zelenka J et al. Improved HPLC Analysis of Serum 7{alpha}-Hydroxycholest-4-en-3-one, a Marker of Bile Acid Malabsorption. </w:t>
      </w:r>
      <w:r w:rsidR="008412EB" w:rsidRPr="00D43298">
        <w:rPr>
          <w:rFonts w:ascii="Arial" w:hAnsi="Arial" w:cs="Arial"/>
          <w:i/>
          <w:sz w:val="22"/>
          <w:szCs w:val="22"/>
        </w:rPr>
        <w:t>Clin Chem</w:t>
      </w:r>
      <w:r w:rsidR="008412EB" w:rsidRPr="00D43298">
        <w:rPr>
          <w:rFonts w:ascii="Arial" w:hAnsi="Arial" w:cs="Arial"/>
          <w:sz w:val="22"/>
          <w:szCs w:val="22"/>
        </w:rPr>
        <w:t xml:space="preserve"> 2008;54:1087-88.</w:t>
      </w:r>
    </w:p>
    <w:p w:rsidR="008412EB" w:rsidRPr="00D43298" w:rsidRDefault="008412EB" w:rsidP="008412EB">
      <w:pPr>
        <w:tabs>
          <w:tab w:val="right" w:pos="360"/>
          <w:tab w:val="left" w:pos="540"/>
        </w:tabs>
        <w:spacing w:line="480" w:lineRule="auto"/>
        <w:ind w:left="540" w:hanging="540"/>
        <w:rPr>
          <w:rFonts w:ascii="Arial" w:hAnsi="Arial" w:cs="Arial"/>
          <w:sz w:val="22"/>
          <w:szCs w:val="22"/>
        </w:rPr>
      </w:pPr>
    </w:p>
    <w:p w:rsidR="00CC6840" w:rsidRPr="00D43298" w:rsidRDefault="00A83DF8" w:rsidP="00E10AB8">
      <w:pPr>
        <w:rPr>
          <w:rFonts w:ascii="Arial" w:hAnsi="Arial" w:cs="Arial"/>
          <w:color w:val="3366FF"/>
          <w:sz w:val="22"/>
          <w:szCs w:val="22"/>
        </w:rPr>
      </w:pPr>
      <w:r w:rsidRPr="00D43298">
        <w:rPr>
          <w:rFonts w:ascii="Arial" w:hAnsi="Arial" w:cs="Arial"/>
          <w:sz w:val="22"/>
          <w:szCs w:val="22"/>
        </w:rPr>
        <w:fldChar w:fldCharType="end"/>
      </w:r>
    </w:p>
    <w:sectPr w:rsidR="00CC6840" w:rsidRPr="00D43298" w:rsidSect="00D61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2EB"/>
    <w:rsid w:val="00032AD5"/>
    <w:rsid w:val="001A0C4C"/>
    <w:rsid w:val="002B62C2"/>
    <w:rsid w:val="00704BED"/>
    <w:rsid w:val="008412EB"/>
    <w:rsid w:val="00A83DF8"/>
    <w:rsid w:val="00B67238"/>
    <w:rsid w:val="00CC404B"/>
    <w:rsid w:val="00CC6840"/>
    <w:rsid w:val="00D13939"/>
    <w:rsid w:val="00D43298"/>
    <w:rsid w:val="00D52284"/>
    <w:rsid w:val="00D61D50"/>
    <w:rsid w:val="00DB4180"/>
    <w:rsid w:val="00DE52AE"/>
    <w:rsid w:val="00E0094E"/>
    <w:rsid w:val="00E10AB8"/>
    <w:rsid w:val="00E3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12EB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12E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cs-C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12EB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12E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2507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C4 in ZSD</vt:lpstr>
      <vt:lpstr>C4 in ZSD</vt:lpstr>
    </vt:vector>
  </TitlesOfParts>
  <Company>VFN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 in ZSD</dc:title>
  <dc:creator>LenicekM</dc:creator>
  <cp:lastModifiedBy>F. Klouwer</cp:lastModifiedBy>
  <cp:revision>4</cp:revision>
  <dcterms:created xsi:type="dcterms:W3CDTF">2016-05-06T08:16:00Z</dcterms:created>
  <dcterms:modified xsi:type="dcterms:W3CDTF">2016-05-06T11:42:00Z</dcterms:modified>
</cp:coreProperties>
</file>