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A3EFD" w14:textId="77777777" w:rsidR="000074C6" w:rsidRPr="000074C6" w:rsidRDefault="000074C6" w:rsidP="00DD1138">
      <w:pPr>
        <w:pStyle w:val="SupplementaryMaterial"/>
        <w:spacing w:before="0" w:after="0"/>
      </w:pPr>
      <w:bookmarkStart w:id="0" w:name="_Toc164394647"/>
      <w:r w:rsidRPr="000074C6">
        <w:t xml:space="preserve">Supplemental Data for: </w:t>
      </w:r>
      <w:bookmarkEnd w:id="0"/>
      <w:r w:rsidRPr="000074C6">
        <w:t xml:space="preserve">Pharmacokinetics and Pharmacodynamics of </w:t>
      </w:r>
      <w:proofErr w:type="spellStart"/>
      <w:r w:rsidRPr="000074C6">
        <w:t>Cannabigerol</w:t>
      </w:r>
      <w:proofErr w:type="spellEnd"/>
      <w:r w:rsidRPr="000074C6">
        <w:t xml:space="preserve"> (CBG) in the C57BL/6Crl Mouse </w:t>
      </w:r>
    </w:p>
    <w:p w14:paraId="74F232D5" w14:textId="77777777" w:rsidR="000074C6" w:rsidRPr="000074C6" w:rsidRDefault="000074C6" w:rsidP="00DD1138">
      <w:pPr>
        <w:pStyle w:val="Title"/>
        <w:spacing w:before="0" w:after="0"/>
        <w:rPr>
          <w:lang w:val="en-CA"/>
        </w:rPr>
      </w:pPr>
    </w:p>
    <w:p w14:paraId="6CFA3321" w14:textId="70B9EF97" w:rsidR="000074C6" w:rsidRDefault="000074C6" w:rsidP="00DD1138">
      <w:pPr>
        <w:pStyle w:val="Heading1"/>
        <w:spacing w:before="0" w:after="0"/>
      </w:pPr>
      <w:r w:rsidRPr="000074C6">
        <w:t xml:space="preserve">Analytical </w:t>
      </w:r>
      <w:r>
        <w:t>M</w:t>
      </w:r>
      <w:r w:rsidRPr="000074C6">
        <w:t xml:space="preserve">ethod </w:t>
      </w:r>
      <w:r>
        <w:t>R</w:t>
      </w:r>
      <w:r w:rsidRPr="000074C6">
        <w:t>esults</w:t>
      </w:r>
      <w:bookmarkStart w:id="1" w:name="_Toc164394671"/>
    </w:p>
    <w:p w14:paraId="2EE46AC9" w14:textId="3FA678E7" w:rsidR="000074C6" w:rsidRPr="000074C6" w:rsidRDefault="000074C6" w:rsidP="00DD1138">
      <w:pPr>
        <w:spacing w:before="0" w:after="0"/>
        <w:jc w:val="both"/>
        <w:textAlignment w:val="baseline"/>
        <w:rPr>
          <w:rFonts w:cs="Times New Roman"/>
          <w:szCs w:val="24"/>
        </w:rPr>
      </w:pPr>
      <w:r w:rsidRPr="000074C6">
        <w:rPr>
          <w:rFonts w:cs="Times New Roman"/>
          <w:szCs w:val="24"/>
        </w:rPr>
        <w:t xml:space="preserve">Working stocks for standard curve and quality control (QC) concentrations were </w:t>
      </w:r>
      <w:r w:rsidR="00BD4A09">
        <w:rPr>
          <w:rFonts w:cs="Times New Roman"/>
          <w:szCs w:val="24"/>
        </w:rPr>
        <w:t>prepared</w:t>
      </w:r>
      <w:r w:rsidR="00BD4A09" w:rsidRPr="000074C6">
        <w:rPr>
          <w:rFonts w:cs="Times New Roman"/>
          <w:szCs w:val="24"/>
        </w:rPr>
        <w:t xml:space="preserve"> </w:t>
      </w:r>
      <w:r w:rsidRPr="000074C6">
        <w:rPr>
          <w:rFonts w:cs="Times New Roman"/>
          <w:szCs w:val="24"/>
        </w:rPr>
        <w:t xml:space="preserve">by diluting 1 mg/mL CBG in methanol. Working standards were made in the range of 160-8000 ng/mL, and QC’s working solutions were 160 ng/mL, 480 ng/mL, 4,000 ng/mL, and 5,500 ng/mL to give a lower limit of quantification (LLOQ), low-quality control (LQC), middle-quality control (MQC), and high-quality control (HQC) of 8 ng/mL, 24 ng/mL, 200 ng/mL, and 275 ng/mL respectively. Standards and QCs were prepared by adding 5 </w:t>
      </w:r>
      <w:proofErr w:type="spellStart"/>
      <w:r w:rsidRPr="000074C6">
        <w:rPr>
          <w:rFonts w:cs="Times New Roman"/>
          <w:szCs w:val="24"/>
        </w:rPr>
        <w:t>μL</w:t>
      </w:r>
      <w:proofErr w:type="spellEnd"/>
      <w:r w:rsidRPr="000074C6">
        <w:rPr>
          <w:rFonts w:cs="Times New Roman"/>
          <w:szCs w:val="24"/>
        </w:rPr>
        <w:t xml:space="preserve"> of working standard or working QC solution to 95 </w:t>
      </w:r>
      <w:proofErr w:type="spellStart"/>
      <w:r w:rsidRPr="000074C6">
        <w:rPr>
          <w:rFonts w:cs="Times New Roman"/>
          <w:szCs w:val="24"/>
        </w:rPr>
        <w:t>μL</w:t>
      </w:r>
      <w:proofErr w:type="spellEnd"/>
      <w:r w:rsidRPr="000074C6">
        <w:rPr>
          <w:rFonts w:cs="Times New Roman"/>
          <w:szCs w:val="24"/>
        </w:rPr>
        <w:t xml:space="preserve"> of blank mouse whole blood and mix</w:t>
      </w:r>
      <w:r w:rsidR="00727839">
        <w:rPr>
          <w:rFonts w:cs="Times New Roman"/>
          <w:szCs w:val="24"/>
        </w:rPr>
        <w:t>ing</w:t>
      </w:r>
      <w:r w:rsidRPr="000074C6">
        <w:rPr>
          <w:rFonts w:cs="Times New Roman"/>
          <w:szCs w:val="24"/>
        </w:rPr>
        <w:t xml:space="preserve"> gently for 10 sec. To each standard or QC, 300 </w:t>
      </w:r>
      <w:proofErr w:type="spellStart"/>
      <w:r w:rsidRPr="000074C6">
        <w:rPr>
          <w:rFonts w:cs="Times New Roman"/>
          <w:szCs w:val="24"/>
        </w:rPr>
        <w:t>μL</w:t>
      </w:r>
      <w:proofErr w:type="spellEnd"/>
      <w:r w:rsidRPr="000074C6">
        <w:rPr>
          <w:rFonts w:cs="Times New Roman"/>
          <w:szCs w:val="24"/>
        </w:rPr>
        <w:t xml:space="preserve"> of super mix internal standard solution (acetonitrile containing 0.5% formic acid and 15 ng/mL CBD-d3) was added. Each standard or QC was vortexed for 30 sec, then centrifuged at 14,000 × g at 4°C for 10 min using an Eppendorf 5415R centrifuge. The supernatant was transferred to a </w:t>
      </w:r>
      <w:proofErr w:type="spellStart"/>
      <w:r w:rsidRPr="000074C6">
        <w:rPr>
          <w:rFonts w:cs="Times New Roman"/>
          <w:szCs w:val="24"/>
        </w:rPr>
        <w:t>HybridSPE</w:t>
      </w:r>
      <w:proofErr w:type="spellEnd"/>
      <w:r w:rsidRPr="000074C6">
        <w:rPr>
          <w:rFonts w:cs="Times New Roman"/>
          <w:szCs w:val="24"/>
        </w:rPr>
        <w:t>®-Phospholipid 96-well plate, filtered through a low vacuum, and then transferred to an amber glass HPLC vial.</w:t>
      </w:r>
    </w:p>
    <w:p w14:paraId="69C0CF84" w14:textId="77777777" w:rsidR="009C16D2" w:rsidRDefault="009C16D2" w:rsidP="0029566F">
      <w:pPr>
        <w:spacing w:before="0" w:after="0"/>
        <w:jc w:val="both"/>
        <w:rPr>
          <w:rFonts w:cs="Times New Roman"/>
          <w:szCs w:val="24"/>
        </w:rPr>
      </w:pPr>
    </w:p>
    <w:p w14:paraId="784B96E6" w14:textId="6ADADF99" w:rsidR="000074C6" w:rsidRDefault="000074C6" w:rsidP="0029566F">
      <w:pPr>
        <w:spacing w:before="0" w:after="0"/>
        <w:jc w:val="both"/>
        <w:rPr>
          <w:rFonts w:cs="Times New Roman"/>
          <w:szCs w:val="24"/>
        </w:rPr>
      </w:pPr>
      <w:r w:rsidRPr="000074C6">
        <w:rPr>
          <w:rFonts w:cs="Times New Roman"/>
          <w:szCs w:val="24"/>
        </w:rPr>
        <w:t xml:space="preserve">Mouse whole blood samples were then thawed at room temperature and gently mixed via inversion. 300 </w:t>
      </w:r>
      <w:proofErr w:type="spellStart"/>
      <w:r w:rsidRPr="000074C6">
        <w:rPr>
          <w:rFonts w:cs="Times New Roman"/>
          <w:szCs w:val="24"/>
        </w:rPr>
        <w:t>μL</w:t>
      </w:r>
      <w:proofErr w:type="spellEnd"/>
      <w:r w:rsidRPr="000074C6">
        <w:rPr>
          <w:rFonts w:cs="Times New Roman"/>
          <w:szCs w:val="24"/>
        </w:rPr>
        <w:t xml:space="preserve"> of super mix </w:t>
      </w:r>
      <w:r w:rsidR="0029566F">
        <w:rPr>
          <w:rFonts w:cs="Times New Roman"/>
          <w:szCs w:val="24"/>
        </w:rPr>
        <w:t>(</w:t>
      </w:r>
      <w:r w:rsidR="0029566F" w:rsidRPr="000074C6">
        <w:rPr>
          <w:rFonts w:cs="Times New Roman"/>
          <w:szCs w:val="24"/>
        </w:rPr>
        <w:t>acetonitrile containing 0.5% formic acid and 15 ng/mL CBD-d3</w:t>
      </w:r>
      <w:r w:rsidR="0029566F">
        <w:rPr>
          <w:rFonts w:cs="Times New Roman"/>
          <w:szCs w:val="24"/>
        </w:rPr>
        <w:t xml:space="preserve">) </w:t>
      </w:r>
      <w:r w:rsidRPr="000074C6">
        <w:rPr>
          <w:rFonts w:cs="Times New Roman"/>
          <w:szCs w:val="24"/>
        </w:rPr>
        <w:t xml:space="preserve">internal standard solution was added to 100 </w:t>
      </w:r>
      <w:proofErr w:type="spellStart"/>
      <w:r w:rsidRPr="000074C6">
        <w:rPr>
          <w:rFonts w:cs="Times New Roman"/>
          <w:szCs w:val="24"/>
        </w:rPr>
        <w:t>μL</w:t>
      </w:r>
      <w:proofErr w:type="spellEnd"/>
      <w:r w:rsidRPr="000074C6">
        <w:rPr>
          <w:rFonts w:cs="Times New Roman"/>
          <w:szCs w:val="24"/>
        </w:rPr>
        <w:t xml:space="preserve"> of a whole blood sample, and the above protocol was followed. HPLC-MS/MS was used to quantify CBG </w:t>
      </w:r>
      <w:r w:rsidR="004761FF">
        <w:rPr>
          <w:rFonts w:cs="Times New Roman"/>
          <w:szCs w:val="24"/>
        </w:rPr>
        <w:t xml:space="preserve">and THC </w:t>
      </w:r>
      <w:r w:rsidRPr="000074C6">
        <w:rPr>
          <w:rFonts w:cs="Times New Roman"/>
          <w:szCs w:val="24"/>
        </w:rPr>
        <w:t>in mouse whole blood using a protocol described and performed in (Zagzoog et al., 2024).</w:t>
      </w:r>
    </w:p>
    <w:p w14:paraId="69AFFC61" w14:textId="77777777" w:rsidR="0029566F" w:rsidRPr="000074C6" w:rsidRDefault="0029566F" w:rsidP="00DD1138">
      <w:pPr>
        <w:spacing w:before="0" w:after="0"/>
        <w:jc w:val="both"/>
        <w:rPr>
          <w:rFonts w:cs="Times New Roman"/>
          <w:szCs w:val="24"/>
        </w:rPr>
      </w:pPr>
    </w:p>
    <w:p w14:paraId="2A0093EA" w14:textId="77777777" w:rsidR="000074C6" w:rsidRDefault="000074C6" w:rsidP="00DD1138">
      <w:pPr>
        <w:pStyle w:val="Heading1"/>
        <w:spacing w:before="0" w:after="0"/>
      </w:pPr>
      <w:r w:rsidRPr="000074C6">
        <w:t>HPLC-MS/MS Validation Method</w:t>
      </w:r>
      <w:bookmarkEnd w:id="1"/>
      <w:r w:rsidRPr="000074C6">
        <w:t xml:space="preserve"> </w:t>
      </w:r>
      <w:bookmarkStart w:id="2" w:name="_Toc164394672"/>
    </w:p>
    <w:p w14:paraId="7E373F58" w14:textId="7D077ABA" w:rsidR="000074C6" w:rsidRDefault="000074C6" w:rsidP="00DD1138">
      <w:pPr>
        <w:spacing w:before="0" w:after="0"/>
        <w:jc w:val="both"/>
        <w:rPr>
          <w:rFonts w:cs="Times New Roman"/>
        </w:rPr>
      </w:pPr>
      <w:r w:rsidRPr="00D76213">
        <w:rPr>
          <w:rFonts w:cs="Times New Roman"/>
          <w:color w:val="000000" w:themeColor="text1"/>
        </w:rPr>
        <w:t xml:space="preserve">Matrix effects, selectivity, carry-over, linearity, precision, accuracy, recovery, and reproducibility were all taken into consideration during the method validation, which was done in accordance with FDA and EMA Guidance for Bioanalytical Method Validation. </w:t>
      </w:r>
      <w:r w:rsidRPr="00402B94">
        <w:rPr>
          <w:rFonts w:cs="Times New Roman"/>
          <w:color w:val="000000" w:themeColor="text1"/>
        </w:rPr>
        <w:t>To ensure selectivity</w:t>
      </w:r>
      <w:r>
        <w:rPr>
          <w:rFonts w:cs="Times New Roman"/>
          <w:color w:val="000000" w:themeColor="text1"/>
        </w:rPr>
        <w:t xml:space="preserve"> (</w:t>
      </w:r>
      <w:r w:rsidRPr="00402B94">
        <w:rPr>
          <w:rFonts w:cs="Times New Roman"/>
          <w:b/>
          <w:bCs/>
        </w:rPr>
        <w:t>Supplementary</w:t>
      </w:r>
      <w:r w:rsidRPr="00402B94">
        <w:rPr>
          <w:rFonts w:cs="Times New Roman"/>
        </w:rPr>
        <w:t xml:space="preserve"> </w:t>
      </w:r>
      <w:r w:rsidRPr="00402B94">
        <w:rPr>
          <w:rFonts w:cs="Times New Roman"/>
          <w:b/>
          <w:bCs/>
        </w:rPr>
        <w:t>Figure S1</w:t>
      </w:r>
      <w:r>
        <w:rPr>
          <w:rFonts w:cs="Times New Roman"/>
          <w:color w:val="000000" w:themeColor="text1"/>
        </w:rPr>
        <w:t>)</w:t>
      </w:r>
      <w:r w:rsidRPr="00402B94">
        <w:rPr>
          <w:rFonts w:cs="Times New Roman"/>
          <w:color w:val="000000" w:themeColor="text1"/>
        </w:rPr>
        <w:t>, blank whole blood from different mice was tested for interference in CBG MRMs</w:t>
      </w:r>
      <w:r w:rsidR="004761FF">
        <w:rPr>
          <w:rFonts w:cs="Times New Roman"/>
          <w:color w:val="000000" w:themeColor="text1"/>
        </w:rPr>
        <w:t>,</w:t>
      </w:r>
      <w:r>
        <w:rPr>
          <w:rFonts w:cs="Times New Roman"/>
          <w:color w:val="000000" w:themeColor="text1"/>
        </w:rPr>
        <w:t xml:space="preserve"> with acceptance criteria set at</w:t>
      </w:r>
      <w:r w:rsidRPr="00402B94">
        <w:rPr>
          <w:rFonts w:cs="Times New Roman"/>
          <w:color w:val="000000" w:themeColor="text1"/>
        </w:rPr>
        <w:t xml:space="preserve"> </w:t>
      </w:r>
      <w:r>
        <w:rPr>
          <w:rFonts w:cs="Times New Roman"/>
          <w:color w:val="000000" w:themeColor="text1"/>
        </w:rPr>
        <w:t>an interference</w:t>
      </w:r>
      <w:r w:rsidRPr="00402B94">
        <w:rPr>
          <w:rFonts w:cs="Times New Roman"/>
          <w:color w:val="000000" w:themeColor="text1"/>
        </w:rPr>
        <w:t xml:space="preserve"> </w:t>
      </w:r>
      <w:r w:rsidR="004761FF">
        <w:rPr>
          <w:rFonts w:cs="Times New Roman"/>
          <w:color w:val="000000" w:themeColor="text1"/>
        </w:rPr>
        <w:t xml:space="preserve">of </w:t>
      </w:r>
      <w:r w:rsidRPr="00402B94">
        <w:rPr>
          <w:rFonts w:cs="Times New Roman"/>
          <w:color w:val="000000" w:themeColor="text1"/>
        </w:rPr>
        <w:t xml:space="preserve">less than 20% </w:t>
      </w:r>
      <w:r w:rsidRPr="00402B94">
        <w:rPr>
          <w:rFonts w:cs="Times New Roman"/>
        </w:rPr>
        <w:t xml:space="preserve">of the LLOQ. </w:t>
      </w:r>
    </w:p>
    <w:p w14:paraId="2885FE0B" w14:textId="77777777" w:rsidR="000074C6" w:rsidRPr="00D76213" w:rsidRDefault="000074C6" w:rsidP="00DD1138">
      <w:pPr>
        <w:spacing w:before="0" w:after="0"/>
        <w:jc w:val="both"/>
        <w:rPr>
          <w:rFonts w:cs="Times New Roman"/>
        </w:rPr>
      </w:pPr>
    </w:p>
    <w:p w14:paraId="376FB534" w14:textId="76EDEEB4" w:rsidR="000074C6" w:rsidRDefault="000074C6" w:rsidP="00DD1138">
      <w:pPr>
        <w:spacing w:before="0" w:after="0"/>
        <w:jc w:val="both"/>
        <w:rPr>
          <w:rFonts w:cs="Times New Roman"/>
          <w:color w:val="000000" w:themeColor="text1"/>
        </w:rPr>
      </w:pPr>
      <w:r w:rsidRPr="00D76213">
        <w:rPr>
          <w:rFonts w:cs="Times New Roman"/>
          <w:color w:val="000000" w:themeColor="text1"/>
        </w:rPr>
        <w:t xml:space="preserve">The matrix effect was assessed by evaluating </w:t>
      </w:r>
      <w:r>
        <w:rPr>
          <w:rFonts w:cs="Times New Roman"/>
          <w:color w:val="000000" w:themeColor="text1"/>
        </w:rPr>
        <w:t>suppression or enhancement of co-eluting compounds on the response of the analyte of interest using the low, medium</w:t>
      </w:r>
      <w:r w:rsidR="00727839">
        <w:rPr>
          <w:rFonts w:cs="Times New Roman"/>
          <w:color w:val="000000" w:themeColor="text1"/>
        </w:rPr>
        <w:t>,</w:t>
      </w:r>
      <w:r>
        <w:rPr>
          <w:rFonts w:cs="Times New Roman"/>
          <w:color w:val="000000" w:themeColor="text1"/>
        </w:rPr>
        <w:t xml:space="preserve"> and high QC samples. E</w:t>
      </w:r>
      <w:r w:rsidRPr="00D76213">
        <w:rPr>
          <w:rFonts w:cs="Times New Roman"/>
          <w:color w:val="000000" w:themeColor="text1"/>
        </w:rPr>
        <w:t>ach QC concentration</w:t>
      </w:r>
      <w:r>
        <w:rPr>
          <w:rFonts w:cs="Times New Roman"/>
          <w:color w:val="000000" w:themeColor="text1"/>
        </w:rPr>
        <w:t xml:space="preserve"> was performed in replicates of </w:t>
      </w:r>
      <w:r w:rsidRPr="00D76213">
        <w:rPr>
          <w:rFonts w:cs="Times New Roman"/>
          <w:color w:val="000000" w:themeColor="text1"/>
        </w:rPr>
        <w:t xml:space="preserve">six and calculated by </w:t>
      </w:r>
      <w:r>
        <w:rPr>
          <w:rFonts w:cs="Times New Roman"/>
          <w:color w:val="000000" w:themeColor="text1"/>
        </w:rPr>
        <w:t>Eq</w:t>
      </w:r>
      <w:r w:rsidRPr="00D76213">
        <w:rPr>
          <w:rFonts w:cs="Times New Roman"/>
          <w:color w:val="000000" w:themeColor="text1"/>
        </w:rPr>
        <w:t xml:space="preserve"> </w:t>
      </w:r>
      <w:r w:rsidR="00A23686">
        <w:rPr>
          <w:rFonts w:cs="Times New Roman"/>
          <w:color w:val="000000" w:themeColor="text1"/>
        </w:rPr>
        <w:t>S</w:t>
      </w:r>
      <w:r w:rsidRPr="00D76213">
        <w:rPr>
          <w:rFonts w:cs="Times New Roman"/>
          <w:color w:val="000000" w:themeColor="text1"/>
        </w:rPr>
        <w:t>1.</w:t>
      </w:r>
      <w:r>
        <w:rPr>
          <w:rFonts w:cs="Times New Roman"/>
          <w:color w:val="000000" w:themeColor="text1"/>
        </w:rPr>
        <w:t xml:space="preserve"> All levels of QC samples were spiked post-extraction and compared to the analyte in pure solvent.  </w:t>
      </w:r>
      <w:proofErr w:type="gramStart"/>
      <w:r>
        <w:rPr>
          <w:rFonts w:cs="Times New Roman"/>
          <w:color w:val="000000" w:themeColor="text1"/>
        </w:rPr>
        <w:t>In order to</w:t>
      </w:r>
      <w:proofErr w:type="gramEnd"/>
      <w:r>
        <w:rPr>
          <w:rFonts w:cs="Times New Roman"/>
          <w:color w:val="000000" w:themeColor="text1"/>
        </w:rPr>
        <w:t xml:space="preserve"> assess extraction recovery and how much analyte is lost during processing, QC</w:t>
      </w:r>
      <w:r w:rsidRPr="00D76213">
        <w:rPr>
          <w:rFonts w:cs="Times New Roman"/>
          <w:color w:val="000000" w:themeColor="text1"/>
        </w:rPr>
        <w:t xml:space="preserve"> </w:t>
      </w:r>
      <w:r>
        <w:rPr>
          <w:rFonts w:cs="Times New Roman"/>
          <w:color w:val="000000" w:themeColor="text1"/>
        </w:rPr>
        <w:t xml:space="preserve">samples were </w:t>
      </w:r>
      <w:r w:rsidRPr="00D76213">
        <w:rPr>
          <w:rFonts w:cs="Times New Roman"/>
          <w:color w:val="000000" w:themeColor="text1"/>
        </w:rPr>
        <w:t xml:space="preserve">spiked </w:t>
      </w:r>
      <w:r>
        <w:rPr>
          <w:rFonts w:cs="Times New Roman"/>
          <w:color w:val="000000" w:themeColor="text1"/>
        </w:rPr>
        <w:t xml:space="preserve">before </w:t>
      </w:r>
      <w:r w:rsidRPr="00D76213">
        <w:rPr>
          <w:rFonts w:cs="Times New Roman"/>
          <w:color w:val="000000" w:themeColor="text1"/>
        </w:rPr>
        <w:t>extraction</w:t>
      </w:r>
      <w:r>
        <w:rPr>
          <w:rFonts w:cs="Times New Roman"/>
          <w:color w:val="000000" w:themeColor="text1"/>
        </w:rPr>
        <w:t>, and another set was spiked following extraction</w:t>
      </w:r>
      <w:r w:rsidRPr="00D76213">
        <w:rPr>
          <w:rFonts w:cs="Times New Roman"/>
          <w:color w:val="000000" w:themeColor="text1"/>
        </w:rPr>
        <w:t>. By analyzing the peak areas for each concentration obtained from the pre</w:t>
      </w:r>
      <w:r>
        <w:rPr>
          <w:rFonts w:cs="Times New Roman"/>
          <w:color w:val="000000" w:themeColor="text1"/>
        </w:rPr>
        <w:t xml:space="preserve">- </w:t>
      </w:r>
      <w:r w:rsidRPr="00D76213">
        <w:rPr>
          <w:rFonts w:cs="Times New Roman"/>
          <w:color w:val="000000" w:themeColor="text1"/>
        </w:rPr>
        <w:t>and post</w:t>
      </w:r>
      <w:r>
        <w:rPr>
          <w:rFonts w:cs="Times New Roman"/>
          <w:color w:val="000000" w:themeColor="text1"/>
        </w:rPr>
        <w:t>-</w:t>
      </w:r>
      <w:r w:rsidRPr="00D76213">
        <w:rPr>
          <w:rFonts w:cs="Times New Roman"/>
          <w:color w:val="000000" w:themeColor="text1"/>
        </w:rPr>
        <w:t xml:space="preserve">spiked sets, the recovery was determined using </w:t>
      </w:r>
      <w:r>
        <w:rPr>
          <w:rFonts w:cs="Times New Roman"/>
          <w:color w:val="000000" w:themeColor="text1"/>
        </w:rPr>
        <w:t>Eq.</w:t>
      </w:r>
      <w:r w:rsidRPr="00D76213">
        <w:rPr>
          <w:rFonts w:cs="Times New Roman"/>
          <w:color w:val="000000" w:themeColor="text1"/>
        </w:rPr>
        <w:t xml:space="preserve"> </w:t>
      </w:r>
      <w:r w:rsidR="00A23686">
        <w:rPr>
          <w:rFonts w:cs="Times New Roman"/>
          <w:color w:val="000000" w:themeColor="text1"/>
        </w:rPr>
        <w:t>S</w:t>
      </w:r>
      <w:r w:rsidRPr="00D76213">
        <w:rPr>
          <w:rFonts w:cs="Times New Roman"/>
          <w:color w:val="000000" w:themeColor="text1"/>
        </w:rPr>
        <w:t>2.</w:t>
      </w:r>
    </w:p>
    <w:p w14:paraId="53875120" w14:textId="77777777" w:rsidR="000074C6" w:rsidRDefault="000074C6" w:rsidP="00DD1138">
      <w:pPr>
        <w:spacing w:before="0" w:after="0"/>
        <w:rPr>
          <w:rFonts w:cs="Times New Roman"/>
          <w:color w:val="000000" w:themeColor="text1"/>
        </w:rPr>
      </w:pPr>
    </w:p>
    <w:p w14:paraId="09400C2C" w14:textId="16F60F27" w:rsidR="000074C6" w:rsidRDefault="00A23686" w:rsidP="00DD1138">
      <w:pPr>
        <w:spacing w:before="0" w:after="0"/>
        <w:ind w:left="360"/>
        <w:jc w:val="center"/>
        <w:rPr>
          <w:rFonts w:eastAsiaTheme="minorEastAsia" w:cs="Times New Roman"/>
          <w:iCs/>
          <w:color w:val="000000" w:themeColor="text1"/>
        </w:rPr>
      </w:pPr>
      <w:r w:rsidRPr="005B6B9E">
        <w:rPr>
          <w:rFonts w:eastAsiaTheme="minorEastAsia" w:cs="Times New Roman"/>
          <w:b/>
          <w:bCs/>
          <w:iCs/>
          <w:color w:val="000000" w:themeColor="text1"/>
        </w:rPr>
        <w:t>Eq.</w:t>
      </w:r>
      <w:r w:rsidR="00725ED3">
        <w:rPr>
          <w:rFonts w:eastAsiaTheme="minorEastAsia" w:cs="Times New Roman"/>
          <w:b/>
          <w:bCs/>
          <w:iCs/>
          <w:color w:val="000000" w:themeColor="text1"/>
        </w:rPr>
        <w:t xml:space="preserve"> </w:t>
      </w:r>
      <w:r>
        <w:rPr>
          <w:rFonts w:eastAsiaTheme="minorEastAsia" w:cs="Times New Roman"/>
          <w:b/>
          <w:bCs/>
          <w:iCs/>
          <w:color w:val="000000" w:themeColor="text1"/>
        </w:rPr>
        <w:t>S</w:t>
      </w:r>
      <w:r w:rsidRPr="005B6B9E">
        <w:rPr>
          <w:rFonts w:eastAsiaTheme="minorEastAsia" w:cs="Times New Roman"/>
          <w:b/>
          <w:bCs/>
          <w:iCs/>
          <w:color w:val="000000" w:themeColor="text1"/>
        </w:rPr>
        <w:t>1</w:t>
      </w:r>
      <w:r>
        <w:rPr>
          <w:rFonts w:eastAsiaTheme="minorEastAsia" w:cs="Times New Roman"/>
          <w:b/>
          <w:bCs/>
          <w:iCs/>
          <w:color w:val="000000" w:themeColor="text1"/>
        </w:rPr>
        <w:tab/>
      </w:r>
      <m:oMath>
        <m:r>
          <m:rPr>
            <m:sty m:val="p"/>
          </m:rPr>
          <w:rPr>
            <w:rFonts w:ascii="Cambria Math" w:hAnsi="Cambria Math" w:cs="Times New Roman"/>
            <w:color w:val="000000" w:themeColor="text1"/>
          </w:rPr>
          <m:t xml:space="preserve">Matrix Factor </m:t>
        </m:r>
        <m:d>
          <m:dPr>
            <m:ctrlPr>
              <w:rPr>
                <w:rFonts w:ascii="Cambria Math" w:hAnsi="Cambria Math" w:cs="Times New Roman"/>
                <w:iCs/>
                <w:color w:val="000000" w:themeColor="text1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</w:rPr>
              <m:t>MF</m:t>
            </m:r>
          </m:e>
        </m:d>
        <m:r>
          <m:rPr>
            <m:sty m:val="p"/>
          </m:rPr>
          <w:rPr>
            <w:rFonts w:ascii="Cambria Math" w:hAnsi="Cambria Math" w:cs="Times New Roman"/>
            <w:color w:val="000000" w:themeColor="text1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color w:val="000000" w:themeColor="text1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iCs/>
                    <w:color w:val="000000" w:themeColor="text1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 w:themeColor="text1"/>
                  </w:rPr>
                  <m:t>Area</m:t>
                </m:r>
              </m:e>
              <m:sub>
                <m:r>
                  <w:rPr>
                    <w:rFonts w:ascii="Cambria Math" w:hAnsi="Cambria Math" w:cs="Times New Roman"/>
                    <w:color w:val="000000" w:themeColor="text1"/>
                  </w:rPr>
                  <m:t>post-spike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iCs/>
                    <w:color w:val="000000" w:themeColor="text1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 w:themeColor="text1"/>
                  </w:rPr>
                  <m:t>Area</m:t>
                </m:r>
              </m:e>
              <m:sub>
                <m:r>
                  <w:rPr>
                    <w:rFonts w:ascii="Cambria Math" w:hAnsi="Cambria Math" w:cs="Times New Roman"/>
                    <w:color w:val="000000" w:themeColor="text1"/>
                  </w:rPr>
                  <m:t>pure</m:t>
                </m:r>
              </m:sub>
            </m:sSub>
          </m:den>
        </m:f>
      </m:oMath>
      <w:r w:rsidR="000074C6" w:rsidRPr="00D76213">
        <w:rPr>
          <w:rFonts w:eastAsiaTheme="minorEastAsia" w:cs="Times New Roman"/>
          <w:iCs/>
          <w:color w:val="000000" w:themeColor="text1"/>
        </w:rPr>
        <w:t xml:space="preserve"> </w:t>
      </w:r>
    </w:p>
    <w:p w14:paraId="32C67B94" w14:textId="77777777" w:rsidR="00A23686" w:rsidRPr="00D76213" w:rsidRDefault="00A23686" w:rsidP="00DD1138">
      <w:pPr>
        <w:spacing w:before="0" w:after="0"/>
        <w:ind w:left="360"/>
        <w:jc w:val="center"/>
        <w:rPr>
          <w:rFonts w:eastAsiaTheme="minorEastAsia" w:cs="Times New Roman"/>
          <w:iCs/>
          <w:color w:val="000000" w:themeColor="text1"/>
        </w:rPr>
      </w:pPr>
    </w:p>
    <w:p w14:paraId="791FBBC3" w14:textId="26936512" w:rsidR="000074C6" w:rsidRPr="005B6B9E" w:rsidRDefault="00A23686" w:rsidP="00DD1138">
      <w:pPr>
        <w:pStyle w:val="ListParagraph"/>
        <w:numPr>
          <w:ilvl w:val="0"/>
          <w:numId w:val="0"/>
        </w:numPr>
        <w:spacing w:before="0" w:after="0"/>
        <w:ind w:left="1440"/>
        <w:jc w:val="center"/>
        <w:rPr>
          <w:rFonts w:eastAsiaTheme="minorEastAsia"/>
          <w:b/>
          <w:bCs/>
          <w:color w:val="000000" w:themeColor="text1"/>
        </w:rPr>
      </w:pPr>
      <w:r>
        <w:rPr>
          <w:rFonts w:eastAsiaTheme="minorEastAsia"/>
          <w:b/>
          <w:bCs/>
          <w:color w:val="000000" w:themeColor="text1"/>
        </w:rPr>
        <w:t>Eq. S2</w:t>
      </w:r>
      <w:r>
        <w:rPr>
          <w:rFonts w:eastAsiaTheme="minorEastAsia"/>
          <w:b/>
          <w:bCs/>
          <w:color w:val="000000" w:themeColor="text1"/>
        </w:rPr>
        <w:tab/>
      </w:r>
      <w:r>
        <w:rPr>
          <w:rFonts w:eastAsiaTheme="minorEastAsia"/>
          <w:b/>
          <w:bCs/>
          <w:color w:val="000000" w:themeColor="text1"/>
        </w:rPr>
        <w:tab/>
      </w:r>
      <m:oMath>
        <m:r>
          <m:rPr>
            <m:sty m:val="p"/>
          </m:rPr>
          <w:rPr>
            <w:rFonts w:ascii="Cambria Math" w:hAnsi="Cambria Math"/>
            <w:color w:val="000000" w:themeColor="text1"/>
          </w:rPr>
          <m:t xml:space="preserve">Extraction Recovery </m:t>
        </m:r>
        <m:d>
          <m:dPr>
            <m:ctrlPr>
              <w:rPr>
                <w:rFonts w:ascii="Cambria Math" w:hAnsi="Cambria Math"/>
                <w:iCs/>
                <w:color w:val="000000" w:themeColor="text1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</w:rPr>
              <m:t>%</m:t>
            </m:r>
          </m:e>
        </m:d>
        <m:r>
          <m:rPr>
            <m:sty m:val="p"/>
          </m:rPr>
          <w:rPr>
            <w:rFonts w:ascii="Cambria Math" w:hAnsi="Cambria Math"/>
            <w:color w:val="000000" w:themeColor="text1"/>
          </w:rPr>
          <m:t xml:space="preserve">= </m:t>
        </m:r>
        <m:f>
          <m:fPr>
            <m:ctrlPr>
              <w:rPr>
                <w:rFonts w:ascii="Cambria Math" w:hAnsi="Cambria Math"/>
                <w:iCs/>
                <w:color w:val="000000" w:themeColor="text1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0000" w:themeColor="text1"/>
              </w:rPr>
              <m:t xml:space="preserve"> </m:t>
            </m:r>
            <m:sSub>
              <m:sSubPr>
                <m:ctrlPr>
                  <w:rPr>
                    <w:rFonts w:ascii="Cambria Math" w:hAnsi="Cambria Math"/>
                    <w:iCs/>
                    <w:color w:val="000000" w:themeColor="text1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</w:rPr>
                  <m:t>Area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</w:rPr>
                  <m:t>Pre-Spike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Cs/>
                    <w:color w:val="000000" w:themeColor="text1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</w:rPr>
                  <m:t>Area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</w:rPr>
                  <m:t>Post-Spike</m:t>
                </m:r>
              </m:sub>
            </m:sSub>
          </m:den>
        </m:f>
        <m:r>
          <m:rPr>
            <m:sty m:val="p"/>
          </m:rPr>
          <w:rPr>
            <w:rFonts w:ascii="Cambria Math" w:hAnsi="Cambria Math"/>
            <w:color w:val="000000" w:themeColor="text1"/>
          </w:rPr>
          <m:t xml:space="preserve"> × 100</m:t>
        </m:r>
      </m:oMath>
    </w:p>
    <w:p w14:paraId="5173287E" w14:textId="77777777" w:rsidR="000074C6" w:rsidRPr="00D76213" w:rsidRDefault="000074C6" w:rsidP="00DD1138">
      <w:pPr>
        <w:spacing w:before="0" w:after="0"/>
        <w:ind w:firstLine="720"/>
        <w:rPr>
          <w:rFonts w:cs="Times New Roman"/>
          <w:color w:val="000000" w:themeColor="text1"/>
        </w:rPr>
      </w:pPr>
    </w:p>
    <w:p w14:paraId="49E53EF7" w14:textId="78B0186A" w:rsidR="000074C6" w:rsidRDefault="000074C6" w:rsidP="00DD1138">
      <w:pPr>
        <w:spacing w:before="0" w:after="0"/>
        <w:jc w:val="both"/>
        <w:rPr>
          <w:rFonts w:cs="Times New Roman"/>
          <w:color w:val="000000" w:themeColor="text1"/>
        </w:rPr>
      </w:pPr>
      <w:r w:rsidRPr="00D76213">
        <w:rPr>
          <w:rFonts w:cs="Times New Roman"/>
          <w:color w:val="000000" w:themeColor="text1"/>
        </w:rPr>
        <w:t>Carry-over was examined to </w:t>
      </w:r>
      <w:r>
        <w:rPr>
          <w:rFonts w:cs="Times New Roman"/>
          <w:color w:val="000000" w:themeColor="text1"/>
        </w:rPr>
        <w:t>determine</w:t>
      </w:r>
      <w:r w:rsidRPr="00D76213">
        <w:rPr>
          <w:rFonts w:cs="Times New Roman"/>
          <w:color w:val="000000" w:themeColor="text1"/>
        </w:rPr>
        <w:t xml:space="preserve"> analyte </w:t>
      </w:r>
      <w:r>
        <w:rPr>
          <w:rFonts w:cs="Times New Roman"/>
          <w:color w:val="000000" w:themeColor="text1"/>
        </w:rPr>
        <w:t>or internal standard transfer</w:t>
      </w:r>
      <w:r w:rsidRPr="00D76213">
        <w:rPr>
          <w:rFonts w:cs="Times New Roman"/>
          <w:color w:val="000000" w:themeColor="text1"/>
        </w:rPr>
        <w:t xml:space="preserve"> from </w:t>
      </w:r>
      <w:r>
        <w:rPr>
          <w:rFonts w:cs="Times New Roman"/>
          <w:color w:val="000000" w:themeColor="text1"/>
        </w:rPr>
        <w:t>one</w:t>
      </w:r>
      <w:r w:rsidRPr="00D76213">
        <w:rPr>
          <w:rFonts w:cs="Times New Roman"/>
          <w:color w:val="000000" w:themeColor="text1"/>
        </w:rPr>
        <w:t xml:space="preserve"> sample to another</w:t>
      </w:r>
      <w:r>
        <w:rPr>
          <w:rFonts w:cs="Times New Roman"/>
          <w:color w:val="000000" w:themeColor="text1"/>
        </w:rPr>
        <w:t>, which would result in overestimation of sample analyte concentrations</w:t>
      </w:r>
      <w:r w:rsidRPr="00D76213">
        <w:rPr>
          <w:rFonts w:cs="Times New Roman"/>
          <w:color w:val="000000" w:themeColor="text1"/>
        </w:rPr>
        <w:t xml:space="preserve">. </w:t>
      </w:r>
      <w:r>
        <w:rPr>
          <w:rFonts w:cs="Times New Roman"/>
          <w:color w:val="000000" w:themeColor="text1"/>
        </w:rPr>
        <w:t xml:space="preserve">The carry-over effect </w:t>
      </w:r>
      <w:r>
        <w:rPr>
          <w:rFonts w:cs="Times New Roman"/>
          <w:color w:val="000000" w:themeColor="text1"/>
        </w:rPr>
        <w:lastRenderedPageBreak/>
        <w:t>was calculated b</w:t>
      </w:r>
      <w:r w:rsidRPr="00D76213">
        <w:rPr>
          <w:rFonts w:cs="Times New Roman"/>
          <w:color w:val="000000" w:themeColor="text1"/>
        </w:rPr>
        <w:t xml:space="preserve">y </w:t>
      </w:r>
      <w:r>
        <w:rPr>
          <w:rFonts w:cs="Times New Roman"/>
          <w:color w:val="000000" w:themeColor="text1"/>
        </w:rPr>
        <w:t>comparing</w:t>
      </w:r>
      <w:r w:rsidRPr="00D76213">
        <w:rPr>
          <w:rFonts w:cs="Times New Roman"/>
          <w:color w:val="000000" w:themeColor="text1"/>
        </w:rPr>
        <w:t xml:space="preserve"> the </w:t>
      </w:r>
      <w:r>
        <w:rPr>
          <w:rFonts w:cs="Times New Roman"/>
          <w:color w:val="000000" w:themeColor="text1"/>
        </w:rPr>
        <w:t xml:space="preserve">peak area </w:t>
      </w:r>
      <w:r w:rsidRPr="00D76213">
        <w:rPr>
          <w:rFonts w:cs="Times New Roman"/>
          <w:color w:val="000000" w:themeColor="text1"/>
        </w:rPr>
        <w:t xml:space="preserve">ratio of the blank </w:t>
      </w:r>
      <w:r>
        <w:rPr>
          <w:rFonts w:cs="Times New Roman"/>
          <w:color w:val="000000" w:themeColor="text1"/>
        </w:rPr>
        <w:t>sample to the</w:t>
      </w:r>
      <w:r w:rsidRPr="00D76213">
        <w:rPr>
          <w:rFonts w:cs="Times New Roman"/>
          <w:color w:val="000000" w:themeColor="text1"/>
        </w:rPr>
        <w:t xml:space="preserve"> LLOQ</w:t>
      </w:r>
      <w:r>
        <w:rPr>
          <w:rFonts w:cs="Times New Roman"/>
          <w:color w:val="000000" w:themeColor="text1"/>
        </w:rPr>
        <w:t xml:space="preserve"> sample</w:t>
      </w:r>
      <w:r w:rsidRPr="00D76213">
        <w:rPr>
          <w:rFonts w:cs="Times New Roman"/>
          <w:color w:val="000000" w:themeColor="text1"/>
        </w:rPr>
        <w:t xml:space="preserve"> immediately following </w:t>
      </w:r>
      <w:r>
        <w:rPr>
          <w:rFonts w:cs="Times New Roman"/>
          <w:color w:val="000000" w:themeColor="text1"/>
        </w:rPr>
        <w:t xml:space="preserve">the processing of the </w:t>
      </w:r>
      <w:r w:rsidRPr="00D76213">
        <w:rPr>
          <w:rFonts w:cs="Times New Roman"/>
          <w:color w:val="000000" w:themeColor="text1"/>
        </w:rPr>
        <w:t>ULOQ (upper limit of quantification)</w:t>
      </w:r>
      <w:r w:rsidRPr="00D76213">
        <w:rPr>
          <w:rFonts w:cs="Times New Roman"/>
          <w:color w:val="000000" w:themeColor="text1"/>
        </w:rPr>
        <w:fldChar w:fldCharType="begin"/>
      </w:r>
      <w:r w:rsidRPr="00D76213">
        <w:rPr>
          <w:rFonts w:cs="Times New Roman"/>
        </w:rPr>
        <w:instrText xml:space="preserve"> XE "</w:instrText>
      </w:r>
      <w:r w:rsidRPr="00D76213">
        <w:rPr>
          <w:rFonts w:cs="Times New Roman"/>
          <w:color w:val="000000" w:themeColor="text1"/>
        </w:rPr>
        <w:instrText>ULOQ:</w:instrText>
      </w:r>
      <w:r w:rsidRPr="00D76213">
        <w:rPr>
          <w:rFonts w:cs="Times New Roman"/>
        </w:rPr>
        <w:instrText xml:space="preserve">Upper limit of quantification" \t "" </w:instrText>
      </w:r>
      <w:r w:rsidRPr="00D76213">
        <w:rPr>
          <w:rFonts w:cs="Times New Roman"/>
          <w:color w:val="000000" w:themeColor="text1"/>
        </w:rPr>
        <w:fldChar w:fldCharType="end"/>
      </w:r>
      <w:r>
        <w:rPr>
          <w:rFonts w:cs="Times New Roman"/>
          <w:color w:val="000000" w:themeColor="text1"/>
        </w:rPr>
        <w:t xml:space="preserve"> using</w:t>
      </w:r>
      <w:r w:rsidRPr="00D76213">
        <w:rPr>
          <w:rFonts w:cs="Times New Roman"/>
          <w:color w:val="000000" w:themeColor="text1"/>
        </w:rPr>
        <w:t> </w:t>
      </w:r>
      <w:proofErr w:type="spellStart"/>
      <w:r w:rsidR="00A23686">
        <w:rPr>
          <w:rFonts w:cs="Times New Roman"/>
          <w:color w:val="000000" w:themeColor="text1"/>
        </w:rPr>
        <w:t>Eq</w:t>
      </w:r>
      <w:r>
        <w:rPr>
          <w:rFonts w:cs="Times New Roman"/>
          <w:color w:val="000000" w:themeColor="text1"/>
        </w:rPr>
        <w:t>s</w:t>
      </w:r>
      <w:proofErr w:type="spellEnd"/>
      <w:r w:rsidR="00A23686">
        <w:rPr>
          <w:rFonts w:cs="Times New Roman"/>
          <w:color w:val="000000" w:themeColor="text1"/>
        </w:rPr>
        <w:t>.</w:t>
      </w:r>
      <w:r w:rsidRPr="00D76213">
        <w:rPr>
          <w:rFonts w:cs="Times New Roman"/>
          <w:color w:val="000000" w:themeColor="text1"/>
        </w:rPr>
        <w:t xml:space="preserve"> </w:t>
      </w:r>
      <w:r w:rsidR="00A23686">
        <w:rPr>
          <w:rFonts w:cs="Times New Roman"/>
          <w:color w:val="000000" w:themeColor="text1"/>
        </w:rPr>
        <w:t>S</w:t>
      </w:r>
      <w:r w:rsidRPr="00D76213">
        <w:rPr>
          <w:rFonts w:cs="Times New Roman"/>
          <w:color w:val="000000" w:themeColor="text1"/>
        </w:rPr>
        <w:t xml:space="preserve">3 and </w:t>
      </w:r>
      <w:r w:rsidR="00A23686">
        <w:rPr>
          <w:rFonts w:cs="Times New Roman"/>
          <w:color w:val="000000" w:themeColor="text1"/>
        </w:rPr>
        <w:t>S</w:t>
      </w:r>
      <w:r w:rsidRPr="00D76213">
        <w:rPr>
          <w:rFonts w:cs="Times New Roman"/>
          <w:color w:val="000000" w:themeColor="text1"/>
        </w:rPr>
        <w:t>4</w:t>
      </w:r>
      <w:r>
        <w:rPr>
          <w:rFonts w:cs="Times New Roman"/>
          <w:color w:val="000000" w:themeColor="text1"/>
        </w:rPr>
        <w:t xml:space="preserve"> for the standard and internal standard, respectively</w:t>
      </w:r>
      <w:r w:rsidRPr="00D76213">
        <w:rPr>
          <w:rFonts w:cs="Times New Roman"/>
          <w:color w:val="000000" w:themeColor="text1"/>
        </w:rPr>
        <w:t>.</w:t>
      </w:r>
      <w:r w:rsidRPr="008B5ED1">
        <w:rPr>
          <w:rFonts w:cs="Times New Roman"/>
          <w:color w:val="000000" w:themeColor="text1"/>
        </w:rPr>
        <w:t xml:space="preserve"> </w:t>
      </w:r>
      <w:r>
        <w:rPr>
          <w:rFonts w:cs="Times New Roman"/>
          <w:color w:val="000000" w:themeColor="text1"/>
        </w:rPr>
        <w:t xml:space="preserve">No significant carry-over effect was considered if the area ratio was equal to or less than 20% of the LLOQ and less than </w:t>
      </w:r>
      <w:r w:rsidRPr="006D6AF2">
        <w:rPr>
          <w:rFonts w:cs="Times New Roman"/>
          <w:color w:val="000000" w:themeColor="text1"/>
        </w:rPr>
        <w:t>5% for the internal</w:t>
      </w:r>
      <w:r>
        <w:rPr>
          <w:rFonts w:cs="Times New Roman"/>
          <w:color w:val="000000" w:themeColor="text1"/>
        </w:rPr>
        <w:t xml:space="preserve"> standard.</w:t>
      </w:r>
      <w:r w:rsidRPr="00D76213">
        <w:rPr>
          <w:rFonts w:cs="Times New Roman"/>
          <w:color w:val="000000" w:themeColor="text1"/>
        </w:rPr>
        <w:t xml:space="preserve"> Peak-area ratios (peak area ratio of the analyte to internal standard) versus analyte concentration were used to construct a standard curve with 8 points ranging from 8 ng/mL to 400 ng/mL (8 ng/mL, 15 ng/mL, 20 ng/mL, 50 ng/mL, 150 ng/mL, 300 ng/mL, 350 ng/mL, and 400 ng/mL).</w:t>
      </w:r>
      <w:r>
        <w:rPr>
          <w:rFonts w:cs="Times New Roman"/>
          <w:color w:val="000000" w:themeColor="text1"/>
        </w:rPr>
        <w:t xml:space="preserve"> </w:t>
      </w:r>
    </w:p>
    <w:p w14:paraId="7AAD77B9" w14:textId="77777777" w:rsidR="000074C6" w:rsidRPr="00D76213" w:rsidRDefault="000074C6" w:rsidP="00DD1138">
      <w:pPr>
        <w:spacing w:before="0" w:after="0"/>
        <w:jc w:val="both"/>
        <w:rPr>
          <w:rFonts w:cs="Times New Roman"/>
          <w:color w:val="000000" w:themeColor="text1"/>
        </w:rPr>
      </w:pPr>
    </w:p>
    <w:p w14:paraId="6BD6E6EB" w14:textId="77777777" w:rsidR="000074C6" w:rsidRPr="00D76213" w:rsidRDefault="000074C6" w:rsidP="00DD1138">
      <w:pPr>
        <w:spacing w:before="0" w:after="0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 xml:space="preserve">A linear regression analysis of the </w:t>
      </w:r>
      <w:r w:rsidRPr="00D76213">
        <w:rPr>
          <w:rFonts w:cs="Times New Roman"/>
          <w:color w:val="000000" w:themeColor="text1"/>
        </w:rPr>
        <w:t>standard curve was weighted with 1/X</w:t>
      </w:r>
      <w:r w:rsidRPr="00D76213">
        <w:rPr>
          <w:rFonts w:cs="Times New Roman"/>
          <w:color w:val="000000" w:themeColor="text1"/>
          <w:vertAlign w:val="superscript"/>
        </w:rPr>
        <w:t>2</w:t>
      </w:r>
      <w:r>
        <w:rPr>
          <w:rFonts w:cs="Times New Roman"/>
          <w:color w:val="000000" w:themeColor="text1"/>
        </w:rPr>
        <w:t>, and accuracy, slope, intercept, and coefficient of determination assessed the performance of the standard curve over three separate occasions as per FDA guidelines.</w:t>
      </w:r>
    </w:p>
    <w:p w14:paraId="2E65C92C" w14:textId="537ABD30" w:rsidR="000074C6" w:rsidRPr="00D76213" w:rsidRDefault="000074C6" w:rsidP="00DD1138">
      <w:pPr>
        <w:pStyle w:val="ListParagraph"/>
        <w:numPr>
          <w:ilvl w:val="0"/>
          <w:numId w:val="0"/>
        </w:numPr>
        <w:spacing w:before="0" w:after="0"/>
        <w:ind w:left="1440"/>
        <w:rPr>
          <w:rFonts w:eastAsiaTheme="minorEastAsia"/>
          <w:color w:val="000000" w:themeColor="text1"/>
        </w:rPr>
      </w:pPr>
    </w:p>
    <w:p w14:paraId="11E363F2" w14:textId="65E80C90" w:rsidR="000074C6" w:rsidRDefault="00A23686" w:rsidP="00DD1138">
      <w:pPr>
        <w:spacing w:before="0" w:after="0"/>
        <w:ind w:left="360"/>
        <w:jc w:val="center"/>
        <w:rPr>
          <w:rFonts w:eastAsiaTheme="minorEastAsia" w:cs="Times New Roman"/>
          <w:color w:val="000000" w:themeColor="text1"/>
        </w:rPr>
      </w:pPr>
      <w:r>
        <w:rPr>
          <w:rFonts w:eastAsiaTheme="minorEastAsia" w:cs="Times New Roman"/>
          <w:b/>
          <w:bCs/>
          <w:color w:val="000000" w:themeColor="text1"/>
        </w:rPr>
        <w:t>Eq. S3</w:t>
      </w:r>
      <w:r>
        <w:rPr>
          <w:rFonts w:eastAsiaTheme="minorEastAsia" w:cs="Times New Roman"/>
          <w:b/>
          <w:bCs/>
          <w:color w:val="000000" w:themeColor="text1"/>
        </w:rPr>
        <w:tab/>
      </w:r>
      <m:oMath>
        <m:r>
          <m:rPr>
            <m:sty m:val="p"/>
          </m:rPr>
          <w:rPr>
            <w:rFonts w:ascii="Cambria Math" w:hAnsi="Cambria Math" w:cs="Times New Roman"/>
            <w:color w:val="000000" w:themeColor="text1"/>
          </w:rPr>
          <m:t xml:space="preserve">Carry Over </m:t>
        </m:r>
        <m:d>
          <m:dPr>
            <m:ctrlPr>
              <w:rPr>
                <w:rFonts w:ascii="Cambria Math" w:hAnsi="Cambria Math" w:cs="Times New Roman"/>
                <w:iCs/>
                <w:color w:val="000000" w:themeColor="text1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</w:rPr>
              <m:t>St</m:t>
            </m:r>
          </m:e>
        </m:d>
        <m:r>
          <m:rPr>
            <m:sty m:val="p"/>
          </m:rPr>
          <w:rPr>
            <w:rFonts w:ascii="Cambria Math" w:hAnsi="Cambria Math" w:cs="Times New Roman"/>
            <w:color w:val="000000" w:themeColor="text1"/>
          </w:rPr>
          <m:t xml:space="preserve">= </m:t>
        </m:r>
        <m:f>
          <m:fPr>
            <m:ctrlPr>
              <w:rPr>
                <w:rFonts w:ascii="Cambria Math" w:hAnsi="Cambria Math" w:cs="Times New Roman"/>
                <w:iCs/>
                <w:color w:val="000000" w:themeColor="text1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</w:rPr>
              <m:t>Area Blank after ULOQ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</w:rPr>
              <m:t>Area LLOQ</m:t>
            </m:r>
          </m:den>
        </m:f>
        <m:r>
          <m:rPr>
            <m:sty m:val="p"/>
          </m:rPr>
          <w:rPr>
            <w:rFonts w:ascii="Cambria Math" w:hAnsi="Cambria Math" w:cs="Times New Roman"/>
            <w:color w:val="000000" w:themeColor="text1"/>
          </w:rPr>
          <m:t xml:space="preserve"> × 100 </m:t>
        </m:r>
      </m:oMath>
    </w:p>
    <w:p w14:paraId="7D737C2F" w14:textId="77777777" w:rsidR="00A23686" w:rsidRPr="00D76213" w:rsidRDefault="00A23686" w:rsidP="00DD1138">
      <w:pPr>
        <w:spacing w:before="0" w:after="0"/>
        <w:ind w:left="360"/>
        <w:jc w:val="center"/>
        <w:rPr>
          <w:rFonts w:eastAsiaTheme="minorEastAsia" w:cs="Times New Roman"/>
          <w:iCs/>
          <w:color w:val="000000" w:themeColor="text1"/>
        </w:rPr>
      </w:pPr>
    </w:p>
    <w:p w14:paraId="5B7DEEEA" w14:textId="0507E502" w:rsidR="000074C6" w:rsidRDefault="00A23686" w:rsidP="00DD1138">
      <w:pPr>
        <w:spacing w:before="0" w:after="0"/>
        <w:ind w:left="360"/>
        <w:jc w:val="center"/>
        <w:rPr>
          <w:rFonts w:eastAsiaTheme="minorEastAsia" w:cs="Times New Roman"/>
          <w:b/>
          <w:bCs/>
          <w:color w:val="000000" w:themeColor="text1"/>
        </w:rPr>
      </w:pPr>
      <w:r>
        <w:rPr>
          <w:rFonts w:eastAsiaTheme="minorEastAsia" w:cs="Times New Roman"/>
          <w:b/>
          <w:bCs/>
          <w:color w:val="000000" w:themeColor="text1"/>
        </w:rPr>
        <w:t>Eq. S4</w:t>
      </w:r>
      <w:r>
        <w:rPr>
          <w:rFonts w:eastAsiaTheme="minorEastAsia" w:cs="Times New Roman"/>
          <w:b/>
          <w:bCs/>
          <w:color w:val="000000" w:themeColor="text1"/>
        </w:rPr>
        <w:tab/>
      </w:r>
      <m:oMath>
        <m:r>
          <m:rPr>
            <m:sty m:val="p"/>
          </m:rPr>
          <w:rPr>
            <w:rFonts w:ascii="Cambria Math" w:hAnsi="Cambria Math" w:cs="Times New Roman"/>
            <w:color w:val="000000" w:themeColor="text1"/>
          </w:rPr>
          <m:t xml:space="preserve">Carry Over </m:t>
        </m:r>
        <m:d>
          <m:dPr>
            <m:ctrlPr>
              <w:rPr>
                <w:rFonts w:ascii="Cambria Math" w:hAnsi="Cambria Math" w:cs="Times New Roman"/>
                <w:iCs/>
                <w:color w:val="000000" w:themeColor="text1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</w:rPr>
              <m:t>IS</m:t>
            </m:r>
          </m:e>
        </m:d>
        <m:r>
          <m:rPr>
            <m:sty m:val="p"/>
          </m:rPr>
          <w:rPr>
            <w:rFonts w:ascii="Cambria Math" w:hAnsi="Cambria Math" w:cs="Times New Roman"/>
            <w:color w:val="000000" w:themeColor="text1"/>
          </w:rPr>
          <m:t xml:space="preserve">= </m:t>
        </m:r>
        <m:f>
          <m:fPr>
            <m:ctrlPr>
              <w:rPr>
                <w:rFonts w:ascii="Cambria Math" w:hAnsi="Cambria Math" w:cs="Times New Roman"/>
                <w:iCs/>
                <w:color w:val="000000" w:themeColor="text1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</w:rPr>
              <m:t>Area Blank after ULOQ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</w:rPr>
              <m:t>Area LLOQ</m:t>
            </m:r>
          </m:den>
        </m:f>
        <m:r>
          <m:rPr>
            <m:sty m:val="p"/>
          </m:rPr>
          <w:rPr>
            <w:rFonts w:ascii="Cambria Math" w:hAnsi="Cambria Math" w:cs="Times New Roman"/>
            <w:color w:val="000000" w:themeColor="text1"/>
          </w:rPr>
          <m:t xml:space="preserve"> × 100</m:t>
        </m:r>
      </m:oMath>
    </w:p>
    <w:p w14:paraId="77F49CFB" w14:textId="77777777" w:rsidR="000074C6" w:rsidRPr="000074C6" w:rsidRDefault="000074C6" w:rsidP="00DD1138">
      <w:pPr>
        <w:spacing w:before="0" w:after="0"/>
      </w:pPr>
    </w:p>
    <w:p w14:paraId="1AC0326E" w14:textId="72B03345" w:rsidR="000074C6" w:rsidRPr="000074C6" w:rsidRDefault="000074C6" w:rsidP="00DD1138">
      <w:pPr>
        <w:pStyle w:val="Heading1"/>
        <w:spacing w:before="0" w:after="0"/>
      </w:pPr>
      <w:r w:rsidRPr="000074C6">
        <w:rPr>
          <w:rFonts w:asciiTheme="majorBidi" w:eastAsiaTheme="minorHAnsi" w:hAnsiTheme="majorBidi"/>
          <w:bCs/>
          <w:color w:val="000000" w:themeColor="text1"/>
        </w:rPr>
        <w:t xml:space="preserve">Analytical </w:t>
      </w:r>
      <w:r>
        <w:rPr>
          <w:rFonts w:asciiTheme="majorBidi" w:eastAsiaTheme="minorHAnsi" w:hAnsiTheme="majorBidi"/>
          <w:bCs/>
          <w:color w:val="000000" w:themeColor="text1"/>
        </w:rPr>
        <w:t>M</w:t>
      </w:r>
      <w:r w:rsidRPr="000074C6">
        <w:rPr>
          <w:rFonts w:asciiTheme="majorBidi" w:eastAsiaTheme="minorHAnsi" w:hAnsiTheme="majorBidi"/>
          <w:bCs/>
          <w:color w:val="000000" w:themeColor="text1"/>
        </w:rPr>
        <w:t xml:space="preserve">ethod </w:t>
      </w:r>
      <w:r>
        <w:rPr>
          <w:rFonts w:asciiTheme="majorBidi" w:eastAsiaTheme="minorHAnsi" w:hAnsiTheme="majorBidi"/>
          <w:bCs/>
          <w:color w:val="000000" w:themeColor="text1"/>
        </w:rPr>
        <w:t>V</w:t>
      </w:r>
      <w:r w:rsidRPr="000074C6">
        <w:rPr>
          <w:rFonts w:asciiTheme="majorBidi" w:eastAsiaTheme="minorHAnsi" w:hAnsiTheme="majorBidi"/>
          <w:bCs/>
          <w:color w:val="000000" w:themeColor="text1"/>
        </w:rPr>
        <w:t xml:space="preserve">alidation </w:t>
      </w:r>
      <w:r>
        <w:rPr>
          <w:rFonts w:asciiTheme="majorBidi" w:eastAsiaTheme="minorHAnsi" w:hAnsiTheme="majorBidi"/>
          <w:bCs/>
          <w:color w:val="000000" w:themeColor="text1"/>
        </w:rPr>
        <w:t>R</w:t>
      </w:r>
      <w:r w:rsidRPr="000074C6">
        <w:rPr>
          <w:rFonts w:asciiTheme="majorBidi" w:eastAsiaTheme="minorHAnsi" w:hAnsiTheme="majorBidi"/>
          <w:bCs/>
          <w:color w:val="000000" w:themeColor="text1"/>
        </w:rPr>
        <w:t>esults</w:t>
      </w:r>
      <w:bookmarkEnd w:id="2"/>
      <w:r w:rsidRPr="000074C6">
        <w:rPr>
          <w:rFonts w:asciiTheme="majorBidi" w:eastAsiaTheme="minorHAnsi" w:hAnsiTheme="majorBidi"/>
          <w:bCs/>
          <w:color w:val="000000" w:themeColor="text1"/>
        </w:rPr>
        <w:t xml:space="preserve"> </w:t>
      </w:r>
    </w:p>
    <w:p w14:paraId="5380B25C" w14:textId="38558AB2" w:rsidR="00366F52" w:rsidRDefault="00A94599">
      <w:pPr>
        <w:spacing w:before="0" w:after="0"/>
        <w:jc w:val="both"/>
        <w:rPr>
          <w:rFonts w:asciiTheme="majorBidi" w:hAnsiTheme="majorBidi" w:cstheme="majorBidi"/>
          <w:color w:val="000000" w:themeColor="text1"/>
          <w:szCs w:val="24"/>
        </w:rPr>
      </w:pPr>
      <w:r w:rsidRPr="00A94599">
        <w:rPr>
          <w:rFonts w:asciiTheme="majorBidi" w:hAnsiTheme="majorBidi" w:cstheme="majorBidi"/>
          <w:color w:val="000000" w:themeColor="text1"/>
          <w:szCs w:val="24"/>
        </w:rPr>
        <w:t>Intra-day and inter-day accuracy and precision was assessed using the LLOQ, LQC, MQC, and HQC in replicates of six over three separate runs on three different analytical days  (</w:t>
      </w:r>
      <w:r w:rsidRPr="00A94599">
        <w:rPr>
          <w:rFonts w:asciiTheme="majorBidi" w:hAnsiTheme="majorBidi" w:cstheme="majorBidi"/>
          <w:b/>
          <w:bCs/>
          <w:color w:val="000000" w:themeColor="text1"/>
          <w:szCs w:val="24"/>
        </w:rPr>
        <w:t>Supplementary</w:t>
      </w:r>
      <w:r w:rsidRPr="00A94599">
        <w:rPr>
          <w:rFonts w:asciiTheme="majorBidi" w:hAnsiTheme="majorBidi" w:cstheme="majorBidi"/>
          <w:color w:val="000000" w:themeColor="text1"/>
          <w:szCs w:val="24"/>
        </w:rPr>
        <w:t xml:space="preserve"> </w:t>
      </w:r>
      <w:r w:rsidRPr="00A94599">
        <w:rPr>
          <w:rFonts w:asciiTheme="majorBidi" w:hAnsiTheme="majorBidi" w:cstheme="majorBidi"/>
          <w:b/>
          <w:bCs/>
          <w:color w:val="000000" w:themeColor="text1"/>
          <w:szCs w:val="24"/>
        </w:rPr>
        <w:t>Table S1</w:t>
      </w:r>
      <w:r w:rsidRPr="00A94599">
        <w:rPr>
          <w:rFonts w:asciiTheme="majorBidi" w:hAnsiTheme="majorBidi" w:cstheme="majorBidi"/>
          <w:color w:val="000000" w:themeColor="text1"/>
          <w:szCs w:val="24"/>
        </w:rPr>
        <w:t>). Precision was recorded as CV%, and no QC level exceeded 8%. Accuracy was expressed as a percentage of the theoretical value and ranged from 98% to 112%</w:t>
      </w:r>
      <w:r w:rsidR="00194C9C">
        <w:rPr>
          <w:rFonts w:asciiTheme="majorBidi" w:hAnsiTheme="majorBidi" w:cstheme="majorBidi"/>
          <w:color w:val="000000" w:themeColor="text1"/>
          <w:szCs w:val="24"/>
        </w:rPr>
        <w:t xml:space="preserve"> (</w:t>
      </w:r>
      <w:r w:rsidRPr="00A94599">
        <w:rPr>
          <w:rFonts w:asciiTheme="majorBidi" w:hAnsiTheme="majorBidi" w:cstheme="majorBidi"/>
          <w:b/>
          <w:bCs/>
          <w:color w:val="000000" w:themeColor="text1"/>
          <w:szCs w:val="24"/>
        </w:rPr>
        <w:t>Supplementary</w:t>
      </w:r>
      <w:r w:rsidR="00194C9C">
        <w:rPr>
          <w:rFonts w:asciiTheme="majorBidi" w:hAnsiTheme="majorBidi" w:cstheme="majorBidi"/>
          <w:color w:val="000000" w:themeColor="text1"/>
          <w:szCs w:val="24"/>
        </w:rPr>
        <w:t xml:space="preserve"> </w:t>
      </w:r>
      <w:r w:rsidRPr="00A94599">
        <w:rPr>
          <w:rFonts w:asciiTheme="majorBidi" w:hAnsiTheme="majorBidi" w:cstheme="majorBidi"/>
          <w:b/>
          <w:bCs/>
          <w:color w:val="000000" w:themeColor="text1"/>
          <w:szCs w:val="24"/>
        </w:rPr>
        <w:t>Table S1</w:t>
      </w:r>
      <w:r w:rsidRPr="00A94599">
        <w:rPr>
          <w:rFonts w:asciiTheme="majorBidi" w:hAnsiTheme="majorBidi" w:cstheme="majorBidi"/>
          <w:color w:val="000000" w:themeColor="text1"/>
          <w:szCs w:val="24"/>
        </w:rPr>
        <w:t>). On three days of analysis, inter-day accuracy and precision were validated using 18 repetitions for the LLOQ, LQC, and MCQ and 16 replicates for the HCQ (</w:t>
      </w:r>
      <w:r w:rsidRPr="00A94599">
        <w:rPr>
          <w:rFonts w:asciiTheme="majorBidi" w:hAnsiTheme="majorBidi" w:cstheme="majorBidi"/>
          <w:b/>
          <w:bCs/>
          <w:color w:val="000000" w:themeColor="text1"/>
          <w:szCs w:val="24"/>
        </w:rPr>
        <w:t>Supplementary</w:t>
      </w:r>
      <w:r w:rsidRPr="00A94599">
        <w:rPr>
          <w:rFonts w:asciiTheme="majorBidi" w:hAnsiTheme="majorBidi" w:cstheme="majorBidi"/>
          <w:color w:val="000000" w:themeColor="text1"/>
          <w:szCs w:val="24"/>
        </w:rPr>
        <w:t xml:space="preserve"> </w:t>
      </w:r>
      <w:r w:rsidRPr="00A94599">
        <w:rPr>
          <w:rFonts w:asciiTheme="majorBidi" w:hAnsiTheme="majorBidi" w:cstheme="majorBidi"/>
          <w:b/>
          <w:bCs/>
          <w:color w:val="000000" w:themeColor="text1"/>
          <w:szCs w:val="24"/>
        </w:rPr>
        <w:t>Table S2</w:t>
      </w:r>
      <w:r w:rsidRPr="00A94599">
        <w:rPr>
          <w:rFonts w:asciiTheme="majorBidi" w:hAnsiTheme="majorBidi" w:cstheme="majorBidi"/>
          <w:color w:val="000000" w:themeColor="text1"/>
          <w:szCs w:val="24"/>
        </w:rPr>
        <w:t>). Accuracy values ranged from 100 to 111%, and precision values ranged from 4.5 to 4.9% (</w:t>
      </w:r>
      <w:r w:rsidRPr="00A94599">
        <w:rPr>
          <w:rFonts w:asciiTheme="majorBidi" w:hAnsiTheme="majorBidi" w:cstheme="majorBidi"/>
          <w:b/>
          <w:bCs/>
          <w:color w:val="000000" w:themeColor="text1"/>
          <w:szCs w:val="24"/>
        </w:rPr>
        <w:t>Supplementary</w:t>
      </w:r>
      <w:r w:rsidRPr="00A94599">
        <w:rPr>
          <w:rFonts w:asciiTheme="majorBidi" w:hAnsiTheme="majorBidi" w:cstheme="majorBidi"/>
          <w:color w:val="000000" w:themeColor="text1"/>
          <w:szCs w:val="24"/>
        </w:rPr>
        <w:t xml:space="preserve"> </w:t>
      </w:r>
      <w:r w:rsidRPr="00A94599">
        <w:rPr>
          <w:rFonts w:asciiTheme="majorBidi" w:hAnsiTheme="majorBidi" w:cstheme="majorBidi"/>
          <w:b/>
          <w:bCs/>
          <w:color w:val="000000" w:themeColor="text1"/>
          <w:szCs w:val="24"/>
        </w:rPr>
        <w:t>Table S2</w:t>
      </w:r>
      <w:r w:rsidRPr="00A94599">
        <w:rPr>
          <w:rFonts w:asciiTheme="majorBidi" w:hAnsiTheme="majorBidi" w:cstheme="majorBidi"/>
          <w:color w:val="000000" w:themeColor="text1"/>
          <w:szCs w:val="24"/>
        </w:rPr>
        <w:t xml:space="preserve">). Precision and accuracy values for the LQC, MQC, and HQC must be within </w:t>
      </w:r>
      <w:proofErr w:type="gramStart"/>
      <w:r w:rsidRPr="00A94599">
        <w:rPr>
          <w:rFonts w:asciiTheme="majorBidi" w:hAnsiTheme="majorBidi" w:cstheme="majorBidi"/>
          <w:color w:val="000000" w:themeColor="text1"/>
          <w:szCs w:val="24"/>
        </w:rPr>
        <w:t xml:space="preserve">100 </w:t>
      </w:r>
      <w:r w:rsidRPr="00A94599">
        <w:rPr>
          <w:rFonts w:asciiTheme="majorBidi" w:hAnsiTheme="majorBidi" w:cstheme="majorBidi"/>
          <w:iCs/>
          <w:szCs w:val="24"/>
          <w:lang w:val="en-CA"/>
        </w:rPr>
        <w:t xml:space="preserve">± </w:t>
      </w:r>
      <w:r w:rsidRPr="00A94599">
        <w:rPr>
          <w:rFonts w:asciiTheme="majorBidi" w:hAnsiTheme="majorBidi" w:cstheme="majorBidi"/>
          <w:color w:val="000000" w:themeColor="text1"/>
          <w:szCs w:val="24"/>
        </w:rPr>
        <w:t>15</w:t>
      </w:r>
      <w:proofErr w:type="gramEnd"/>
      <w:r w:rsidRPr="00A94599">
        <w:rPr>
          <w:rFonts w:asciiTheme="majorBidi" w:hAnsiTheme="majorBidi" w:cstheme="majorBidi"/>
          <w:color w:val="000000" w:themeColor="text1"/>
          <w:szCs w:val="24"/>
        </w:rPr>
        <w:t xml:space="preserve">%, while the LLOQ must be 100 </w:t>
      </w:r>
      <w:r w:rsidRPr="00A94599">
        <w:rPr>
          <w:rFonts w:asciiTheme="majorBidi" w:hAnsiTheme="majorBidi" w:cstheme="majorBidi"/>
          <w:iCs/>
          <w:szCs w:val="24"/>
          <w:lang w:val="en-CA"/>
        </w:rPr>
        <w:t>±</w:t>
      </w:r>
      <w:r w:rsidRPr="00A94599">
        <w:rPr>
          <w:rFonts w:asciiTheme="majorBidi" w:hAnsiTheme="majorBidi" w:cstheme="majorBidi"/>
          <w:color w:val="000000" w:themeColor="text1"/>
          <w:szCs w:val="24"/>
        </w:rPr>
        <w:t xml:space="preserve"> 20% </w:t>
      </w:r>
      <w:proofErr w:type="gramStart"/>
      <w:r w:rsidRPr="00A94599">
        <w:rPr>
          <w:rFonts w:asciiTheme="majorBidi" w:hAnsiTheme="majorBidi" w:cstheme="majorBidi"/>
          <w:color w:val="000000" w:themeColor="text1"/>
          <w:szCs w:val="24"/>
        </w:rPr>
        <w:t>in order to</w:t>
      </w:r>
      <w:proofErr w:type="gramEnd"/>
      <w:r w:rsidRPr="00A94599">
        <w:rPr>
          <w:rFonts w:asciiTheme="majorBidi" w:hAnsiTheme="majorBidi" w:cstheme="majorBidi"/>
          <w:color w:val="000000" w:themeColor="text1"/>
          <w:szCs w:val="24"/>
        </w:rPr>
        <w:t xml:space="preserve"> meet FDA acceptability criteria. All intra-day and inter-day accuracy and precision data met these requirements.</w:t>
      </w:r>
    </w:p>
    <w:p w14:paraId="0716D221" w14:textId="77777777" w:rsidR="00366F52" w:rsidRPr="00A94599" w:rsidRDefault="00366F52" w:rsidP="00DD1138">
      <w:pPr>
        <w:spacing w:before="0" w:after="0"/>
        <w:jc w:val="both"/>
        <w:rPr>
          <w:rFonts w:asciiTheme="majorBidi" w:hAnsiTheme="majorBidi" w:cstheme="majorBidi"/>
          <w:color w:val="000000" w:themeColor="text1"/>
          <w:szCs w:val="24"/>
        </w:rPr>
      </w:pPr>
    </w:p>
    <w:p w14:paraId="68B567C6" w14:textId="77777777" w:rsidR="00A94599" w:rsidRPr="00A94599" w:rsidRDefault="00A94599" w:rsidP="00DD1138">
      <w:pPr>
        <w:spacing w:before="0" w:after="0"/>
        <w:jc w:val="both"/>
        <w:rPr>
          <w:rFonts w:asciiTheme="majorBidi" w:hAnsiTheme="majorBidi" w:cstheme="majorBidi"/>
          <w:b/>
          <w:bCs/>
          <w:color w:val="000000" w:themeColor="text1"/>
          <w:szCs w:val="24"/>
        </w:rPr>
      </w:pPr>
      <w:r w:rsidRPr="00A94599">
        <w:rPr>
          <w:rFonts w:asciiTheme="majorBidi" w:hAnsiTheme="majorBidi" w:cstheme="majorBidi"/>
          <w:color w:val="000000" w:themeColor="text1"/>
          <w:szCs w:val="24"/>
        </w:rPr>
        <w:t>Selectivity for the standard and internal standard on all days of analysis was found to be &lt; 20% or &lt; 5%, respectively, meeting FDA standards. A chromatogram for double blank showed no interfering endogenous peaks at the same retention time for both standard and internal standard (</w:t>
      </w:r>
      <w:r w:rsidRPr="00A94599">
        <w:rPr>
          <w:rFonts w:asciiTheme="majorBidi" w:hAnsiTheme="majorBidi" w:cstheme="majorBidi"/>
          <w:b/>
          <w:bCs/>
          <w:color w:val="000000" w:themeColor="text1"/>
          <w:szCs w:val="24"/>
        </w:rPr>
        <w:t>Supplementary</w:t>
      </w:r>
      <w:r w:rsidRPr="00A94599">
        <w:rPr>
          <w:rFonts w:asciiTheme="majorBidi" w:hAnsiTheme="majorBidi" w:cstheme="majorBidi"/>
          <w:color w:val="000000" w:themeColor="text1"/>
          <w:szCs w:val="24"/>
        </w:rPr>
        <w:t xml:space="preserve"> </w:t>
      </w:r>
      <w:r w:rsidRPr="00A94599">
        <w:rPr>
          <w:rFonts w:asciiTheme="majorBidi" w:hAnsiTheme="majorBidi" w:cstheme="majorBidi"/>
          <w:b/>
          <w:bCs/>
          <w:color w:val="000000" w:themeColor="text1"/>
          <w:szCs w:val="24"/>
        </w:rPr>
        <w:t>Figure S1)</w:t>
      </w:r>
      <w:r w:rsidRPr="00A94599">
        <w:rPr>
          <w:rFonts w:asciiTheme="majorBidi" w:hAnsiTheme="majorBidi" w:cstheme="majorBidi"/>
          <w:color w:val="000000" w:themeColor="text1"/>
          <w:szCs w:val="24"/>
        </w:rPr>
        <w:t>. Matrix factors were evaluated for the LQC, MQC, and HQC and found to be 102%, 110%, and 113%, respectively, for the standard and 109%, 109%, and 115% for the internal standard. These meet the FDA acceptability requirement of &lt; 15% (</w:t>
      </w:r>
      <w:r w:rsidRPr="00A94599">
        <w:rPr>
          <w:rFonts w:asciiTheme="majorBidi" w:hAnsiTheme="majorBidi" w:cstheme="majorBidi"/>
          <w:b/>
          <w:bCs/>
          <w:color w:val="000000" w:themeColor="text1"/>
          <w:szCs w:val="24"/>
        </w:rPr>
        <w:t>Supplementary</w:t>
      </w:r>
      <w:r w:rsidRPr="00A94599">
        <w:rPr>
          <w:rFonts w:asciiTheme="majorBidi" w:hAnsiTheme="majorBidi" w:cstheme="majorBidi"/>
          <w:color w:val="000000" w:themeColor="text1"/>
          <w:szCs w:val="24"/>
        </w:rPr>
        <w:t xml:space="preserve"> </w:t>
      </w:r>
      <w:r w:rsidRPr="00A94599">
        <w:rPr>
          <w:rFonts w:asciiTheme="majorBidi" w:hAnsiTheme="majorBidi" w:cstheme="majorBidi"/>
          <w:b/>
          <w:bCs/>
          <w:color w:val="000000" w:themeColor="text1"/>
          <w:szCs w:val="24"/>
        </w:rPr>
        <w:t>Table S3).</w:t>
      </w:r>
    </w:p>
    <w:p w14:paraId="7D034803" w14:textId="77777777" w:rsidR="00A94599" w:rsidRPr="00A94599" w:rsidRDefault="00A94599" w:rsidP="00DD1138">
      <w:pPr>
        <w:spacing w:before="0" w:after="0"/>
        <w:jc w:val="both"/>
        <w:rPr>
          <w:rFonts w:asciiTheme="majorBidi" w:hAnsiTheme="majorBidi" w:cstheme="majorBidi"/>
          <w:color w:val="000000" w:themeColor="text1"/>
          <w:szCs w:val="24"/>
        </w:rPr>
      </w:pPr>
    </w:p>
    <w:p w14:paraId="01EE8485" w14:textId="44B68FA0" w:rsidR="00A94599" w:rsidRPr="00A94599" w:rsidRDefault="00A94599" w:rsidP="00DD1138">
      <w:pPr>
        <w:spacing w:before="0" w:after="0"/>
        <w:jc w:val="both"/>
        <w:rPr>
          <w:rFonts w:asciiTheme="majorBidi" w:hAnsiTheme="majorBidi" w:cstheme="majorBidi"/>
          <w:color w:val="000000" w:themeColor="text1"/>
          <w:szCs w:val="24"/>
        </w:rPr>
      </w:pPr>
      <w:r w:rsidRPr="00A94599">
        <w:rPr>
          <w:rFonts w:asciiTheme="majorBidi" w:hAnsiTheme="majorBidi" w:cstheme="majorBidi"/>
          <w:color w:val="000000" w:themeColor="text1"/>
          <w:szCs w:val="24"/>
        </w:rPr>
        <w:t>LQC, MQC, and HQC (24 ng/mL, 200 ng/mL, and 275 ng/mL, respectively) recovery was  ~70% (</w:t>
      </w:r>
      <w:r w:rsidRPr="00A94599">
        <w:rPr>
          <w:rFonts w:asciiTheme="majorBidi" w:hAnsiTheme="majorBidi" w:cstheme="majorBidi"/>
          <w:b/>
          <w:bCs/>
          <w:color w:val="000000" w:themeColor="text1"/>
          <w:szCs w:val="24"/>
        </w:rPr>
        <w:t>Supplementary</w:t>
      </w:r>
      <w:r w:rsidRPr="00A94599">
        <w:rPr>
          <w:rFonts w:asciiTheme="majorBidi" w:hAnsiTheme="majorBidi" w:cstheme="majorBidi"/>
          <w:color w:val="000000" w:themeColor="text1"/>
          <w:szCs w:val="24"/>
        </w:rPr>
        <w:t xml:space="preserve"> </w:t>
      </w:r>
      <w:r w:rsidRPr="00A94599">
        <w:rPr>
          <w:rFonts w:asciiTheme="majorBidi" w:hAnsiTheme="majorBidi" w:cstheme="majorBidi"/>
          <w:b/>
          <w:bCs/>
          <w:color w:val="000000" w:themeColor="text1"/>
          <w:szCs w:val="24"/>
        </w:rPr>
        <w:t>Table S3</w:t>
      </w:r>
      <w:r w:rsidRPr="00A94599">
        <w:rPr>
          <w:rFonts w:asciiTheme="majorBidi" w:hAnsiTheme="majorBidi" w:cstheme="majorBidi"/>
          <w:color w:val="000000" w:themeColor="text1"/>
          <w:szCs w:val="24"/>
        </w:rPr>
        <w:t>). Limiting carry-over to a minimum ensures that the analysis of subsequent samples is not impacted by earlier samples. The carry-over effect evaluated on 3 separate days was found to be 1.5% to 2.5% for the CBG standard, well within  FDA guidelines of 20%.</w:t>
      </w:r>
    </w:p>
    <w:p w14:paraId="365E854F" w14:textId="77777777" w:rsidR="00A94599" w:rsidRPr="00A94599" w:rsidRDefault="00A94599" w:rsidP="00DD1138">
      <w:pPr>
        <w:spacing w:before="0" w:after="0"/>
        <w:jc w:val="both"/>
        <w:rPr>
          <w:rFonts w:asciiTheme="majorBidi" w:hAnsiTheme="majorBidi" w:cstheme="majorBidi"/>
          <w:color w:val="000000" w:themeColor="text1"/>
          <w:szCs w:val="24"/>
        </w:rPr>
      </w:pPr>
    </w:p>
    <w:p w14:paraId="632CFADF" w14:textId="2AB0D979" w:rsidR="00A94599" w:rsidRDefault="00A94599" w:rsidP="00DD1138">
      <w:pPr>
        <w:spacing w:before="0" w:after="0"/>
        <w:jc w:val="both"/>
        <w:rPr>
          <w:rFonts w:asciiTheme="majorBidi" w:hAnsiTheme="majorBidi" w:cstheme="majorBidi"/>
          <w:color w:val="000000" w:themeColor="text1"/>
          <w:szCs w:val="24"/>
        </w:rPr>
      </w:pPr>
      <w:r w:rsidRPr="00A94599">
        <w:rPr>
          <w:rFonts w:asciiTheme="majorBidi" w:hAnsiTheme="majorBidi" w:cstheme="majorBidi"/>
          <w:color w:val="000000" w:themeColor="text1"/>
          <w:szCs w:val="24"/>
        </w:rPr>
        <w:t>Linear regression analysis of the peak-area ratios against nominal concentrations of the 8-point standard curve performed on 3 separate days established linearity with R</w:t>
      </w:r>
      <w:r w:rsidRPr="00A94599">
        <w:rPr>
          <w:rFonts w:asciiTheme="majorBidi" w:hAnsiTheme="majorBidi" w:cstheme="majorBidi"/>
          <w:color w:val="000000" w:themeColor="text1"/>
          <w:szCs w:val="24"/>
          <w:vertAlign w:val="superscript"/>
        </w:rPr>
        <w:t xml:space="preserve">2 </w:t>
      </w:r>
      <w:r w:rsidRPr="00A94599">
        <w:rPr>
          <w:rFonts w:asciiTheme="majorBidi" w:hAnsiTheme="majorBidi" w:cstheme="majorBidi"/>
          <w:color w:val="000000" w:themeColor="text1"/>
          <w:szCs w:val="24"/>
        </w:rPr>
        <w:t>values of 0.9961 – 0.9996 and no significant differences in the intercept values (</w:t>
      </w:r>
      <w:r w:rsidRPr="00A94599">
        <w:rPr>
          <w:rFonts w:asciiTheme="majorBidi" w:hAnsiTheme="majorBidi" w:cstheme="majorBidi"/>
          <w:b/>
          <w:bCs/>
          <w:color w:val="000000" w:themeColor="text1"/>
          <w:szCs w:val="24"/>
        </w:rPr>
        <w:t>Supplementary</w:t>
      </w:r>
      <w:r w:rsidRPr="00A94599">
        <w:rPr>
          <w:rFonts w:asciiTheme="majorBidi" w:hAnsiTheme="majorBidi" w:cstheme="majorBidi"/>
          <w:color w:val="000000" w:themeColor="text1"/>
          <w:szCs w:val="24"/>
        </w:rPr>
        <w:t xml:space="preserve"> </w:t>
      </w:r>
      <w:r w:rsidRPr="00A94599">
        <w:rPr>
          <w:rFonts w:asciiTheme="majorBidi" w:hAnsiTheme="majorBidi" w:cstheme="majorBidi"/>
          <w:b/>
          <w:bCs/>
          <w:color w:val="000000" w:themeColor="text1"/>
          <w:szCs w:val="24"/>
        </w:rPr>
        <w:t>Figure S2)</w:t>
      </w:r>
      <w:r w:rsidRPr="00A94599">
        <w:rPr>
          <w:rFonts w:asciiTheme="majorBidi" w:hAnsiTheme="majorBidi" w:cstheme="majorBidi"/>
          <w:color w:val="000000" w:themeColor="text1"/>
          <w:szCs w:val="24"/>
        </w:rPr>
        <w:t>.</w:t>
      </w:r>
    </w:p>
    <w:p w14:paraId="5B961854" w14:textId="77777777" w:rsidR="00A23686" w:rsidRDefault="00A23686" w:rsidP="0029566F">
      <w:pPr>
        <w:spacing w:before="0" w:after="0"/>
        <w:jc w:val="both"/>
        <w:rPr>
          <w:rFonts w:asciiTheme="majorBidi" w:hAnsiTheme="majorBidi" w:cstheme="majorBidi"/>
          <w:color w:val="000000" w:themeColor="text1"/>
          <w:szCs w:val="24"/>
        </w:rPr>
      </w:pPr>
    </w:p>
    <w:p w14:paraId="7C14B499" w14:textId="77777777" w:rsidR="0029566F" w:rsidRDefault="0029566F" w:rsidP="0029566F">
      <w:pPr>
        <w:spacing w:before="0" w:after="0"/>
        <w:jc w:val="both"/>
        <w:rPr>
          <w:rFonts w:asciiTheme="majorBidi" w:hAnsiTheme="majorBidi" w:cstheme="majorBidi"/>
          <w:color w:val="000000" w:themeColor="text1"/>
          <w:szCs w:val="24"/>
        </w:rPr>
      </w:pPr>
    </w:p>
    <w:p w14:paraId="4320F5BA" w14:textId="77777777" w:rsidR="0029566F" w:rsidRDefault="0029566F" w:rsidP="0029566F">
      <w:pPr>
        <w:spacing w:before="0" w:after="0"/>
        <w:jc w:val="both"/>
        <w:rPr>
          <w:rFonts w:asciiTheme="majorBidi" w:hAnsiTheme="majorBidi" w:cstheme="majorBidi"/>
          <w:color w:val="000000" w:themeColor="text1"/>
          <w:szCs w:val="24"/>
        </w:rPr>
      </w:pPr>
    </w:p>
    <w:p w14:paraId="07CEE8CA" w14:textId="77777777" w:rsidR="0029566F" w:rsidRDefault="0029566F" w:rsidP="00DD1138">
      <w:pPr>
        <w:spacing w:before="0" w:after="0"/>
        <w:jc w:val="both"/>
        <w:rPr>
          <w:rFonts w:asciiTheme="majorBidi" w:hAnsiTheme="majorBidi" w:cstheme="majorBidi"/>
          <w:color w:val="000000" w:themeColor="text1"/>
          <w:szCs w:val="24"/>
        </w:rPr>
      </w:pPr>
    </w:p>
    <w:p w14:paraId="3676CE31" w14:textId="77777777" w:rsidR="00A23686" w:rsidRPr="002436F6" w:rsidRDefault="00A23686" w:rsidP="00DD1138">
      <w:pPr>
        <w:pStyle w:val="ListParagraph"/>
        <w:numPr>
          <w:ilvl w:val="0"/>
          <w:numId w:val="0"/>
        </w:numPr>
        <w:spacing w:before="0" w:after="0"/>
        <w:rPr>
          <w:b/>
          <w:bCs/>
          <w:u w:val="single"/>
        </w:rPr>
      </w:pPr>
      <w:r>
        <w:rPr>
          <w:b/>
          <w:bCs/>
          <w:u w:val="single"/>
        </w:rPr>
        <w:t xml:space="preserve">Figure and </w:t>
      </w:r>
      <w:r w:rsidRPr="002436F6">
        <w:rPr>
          <w:b/>
          <w:bCs/>
          <w:u w:val="single"/>
        </w:rPr>
        <w:t>Legends for Figures</w:t>
      </w:r>
    </w:p>
    <w:p w14:paraId="0EE1EC42" w14:textId="77777777" w:rsidR="00A94599" w:rsidRPr="00D76213" w:rsidRDefault="00A94599" w:rsidP="00DD1138">
      <w:pPr>
        <w:spacing w:before="0" w:after="0"/>
        <w:rPr>
          <w:rFonts w:cs="Times New Roman"/>
          <w:color w:val="000000" w:themeColor="text1"/>
        </w:rPr>
      </w:pPr>
    </w:p>
    <w:p w14:paraId="571F0863" w14:textId="77777777" w:rsidR="00107323" w:rsidRDefault="00A94599" w:rsidP="00DD1138">
      <w:pPr>
        <w:spacing w:before="0" w:after="0"/>
        <w:jc w:val="center"/>
        <w:rPr>
          <w:rFonts w:cs="Times New Roman"/>
          <w:b/>
          <w:bCs/>
          <w:color w:val="000000" w:themeColor="text1"/>
        </w:rPr>
      </w:pPr>
      <w:r w:rsidRPr="00D76213">
        <w:rPr>
          <w:rFonts w:cs="Times New Roman"/>
          <w:noProof/>
          <w:color w:val="000000" w:themeColor="text1"/>
        </w:rPr>
        <w:drawing>
          <wp:inline distT="0" distB="0" distL="0" distR="0" wp14:anchorId="2252381E" wp14:editId="442134F7">
            <wp:extent cx="6126480" cy="3312619"/>
            <wp:effectExtent l="0" t="0" r="0" b="2540"/>
            <wp:docPr id="1054195786" name="Picture 1" descr="A graph of a normalized substanc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4195786" name="Picture 1" descr="A graph of a normalized substance&#10;&#10;Description automatically generated with medium confidence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312619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A3BCE1" w14:textId="77777777" w:rsidR="00B4686B" w:rsidRPr="00F70C49" w:rsidRDefault="00A94599" w:rsidP="00B4686B">
      <w:pPr>
        <w:jc w:val="both"/>
        <w:rPr>
          <w:rFonts w:cs="Times New Roman"/>
          <w:color w:val="000000" w:themeColor="text1"/>
          <w:szCs w:val="24"/>
        </w:rPr>
      </w:pPr>
      <w:r w:rsidRPr="00BE72A3">
        <w:rPr>
          <w:rFonts w:cs="Times New Roman"/>
          <w:b/>
          <w:bCs/>
          <w:color w:val="000000" w:themeColor="text1"/>
        </w:rPr>
        <w:t>Figure S1.</w:t>
      </w:r>
      <w:r w:rsidRPr="00BE72A3">
        <w:rPr>
          <w:rFonts w:cs="Times New Roman"/>
          <w:color w:val="000000" w:themeColor="text1"/>
        </w:rPr>
        <w:t xml:space="preserve"> Representative LC-MS chromatogram of (a) blank and (b) double blank sample of mouse whole blood spiked with 8 ng/mL of CBG, and 15 ng/mL of internal standard (IS) (CBD-d3).</w:t>
      </w:r>
      <w:r w:rsidR="00B4686B">
        <w:rPr>
          <w:rFonts w:cs="Times New Roman"/>
          <w:color w:val="000000" w:themeColor="text1"/>
        </w:rPr>
        <w:t xml:space="preserve"> </w:t>
      </w:r>
      <w:r w:rsidR="00B4686B" w:rsidRPr="00933AAD">
        <w:rPr>
          <w:rFonts w:cs="Times New Roman"/>
          <w:i/>
          <w:iCs/>
          <w:color w:val="000000" w:themeColor="text1"/>
          <w:szCs w:val="24"/>
        </w:rPr>
        <w:t>Note</w:t>
      </w:r>
      <w:r w:rsidR="00B4686B">
        <w:rPr>
          <w:rFonts w:cs="Times New Roman"/>
          <w:i/>
          <w:iCs/>
          <w:color w:val="000000" w:themeColor="text1"/>
          <w:szCs w:val="24"/>
        </w:rPr>
        <w:t>,</w:t>
      </w:r>
      <w:r w:rsidR="00B4686B">
        <w:rPr>
          <w:rFonts w:cs="Times New Roman"/>
          <w:color w:val="000000" w:themeColor="text1"/>
          <w:szCs w:val="24"/>
        </w:rPr>
        <w:t xml:space="preserve"> y-axes vary between panels to better display the data.</w:t>
      </w:r>
    </w:p>
    <w:p w14:paraId="59FCAA97" w14:textId="3491F2DC" w:rsidR="00A94599" w:rsidRPr="00D76213" w:rsidRDefault="00A94599" w:rsidP="00DD1138">
      <w:pPr>
        <w:spacing w:before="0" w:after="0"/>
        <w:jc w:val="both"/>
        <w:rPr>
          <w:rFonts w:cs="Times New Roman"/>
          <w:color w:val="000000" w:themeColor="text1"/>
        </w:rPr>
      </w:pPr>
    </w:p>
    <w:p w14:paraId="4D29404A" w14:textId="77777777" w:rsidR="00A94599" w:rsidRPr="00D76213" w:rsidRDefault="00A94599" w:rsidP="00DD1138">
      <w:pPr>
        <w:spacing w:before="0" w:after="0"/>
        <w:rPr>
          <w:rFonts w:cs="Times New Roman"/>
          <w:color w:val="000000" w:themeColor="text1"/>
        </w:rPr>
      </w:pPr>
    </w:p>
    <w:p w14:paraId="42944421" w14:textId="77777777" w:rsidR="00A94599" w:rsidRPr="00D76213" w:rsidRDefault="00A94599" w:rsidP="00DD1138">
      <w:pPr>
        <w:spacing w:before="0" w:after="0"/>
        <w:jc w:val="center"/>
        <w:rPr>
          <w:rFonts w:cs="Times New Roman"/>
          <w:color w:val="000000" w:themeColor="text1"/>
        </w:rPr>
      </w:pPr>
      <w:r w:rsidRPr="00D76213">
        <w:rPr>
          <w:rFonts w:cs="Times New Roman"/>
          <w:noProof/>
          <w:color w:val="000000" w:themeColor="text1"/>
        </w:rPr>
        <w:drawing>
          <wp:inline distT="0" distB="0" distL="0" distR="0" wp14:anchorId="6FF38545" wp14:editId="60F2F88A">
            <wp:extent cx="3937000" cy="2431970"/>
            <wp:effectExtent l="0" t="0" r="6350" b="0"/>
            <wp:docPr id="17696749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674915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44403" cy="2436543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067962" w14:textId="5601587E" w:rsidR="00A94599" w:rsidRDefault="00A94599" w:rsidP="0029566F">
      <w:pPr>
        <w:spacing w:before="0" w:after="0"/>
        <w:jc w:val="both"/>
        <w:rPr>
          <w:rFonts w:cs="Times New Roman"/>
          <w:color w:val="000000" w:themeColor="text1"/>
        </w:rPr>
      </w:pPr>
      <w:r w:rsidRPr="00BE72A3">
        <w:rPr>
          <w:rFonts w:cs="Times New Roman"/>
          <w:b/>
          <w:bCs/>
          <w:color w:val="000000" w:themeColor="text1"/>
        </w:rPr>
        <w:t>Figure S2.</w:t>
      </w:r>
      <w:r w:rsidRPr="00BE72A3">
        <w:rPr>
          <w:rFonts w:cs="Times New Roman"/>
          <w:color w:val="000000" w:themeColor="text1"/>
        </w:rPr>
        <w:t xml:space="preserve"> </w:t>
      </w:r>
      <w:r w:rsidRPr="00FA44E2">
        <w:rPr>
          <w:rFonts w:cs="Times New Roman"/>
          <w:color w:val="000000" w:themeColor="text1"/>
        </w:rPr>
        <w:t xml:space="preserve">CBG </w:t>
      </w:r>
      <w:r>
        <w:rPr>
          <w:rFonts w:cs="Times New Roman"/>
          <w:color w:val="000000" w:themeColor="text1"/>
        </w:rPr>
        <w:t>s</w:t>
      </w:r>
      <w:r w:rsidRPr="00BE72A3">
        <w:rPr>
          <w:rFonts w:cs="Times New Roman"/>
          <w:color w:val="000000" w:themeColor="text1"/>
        </w:rPr>
        <w:t>tandard curve</w:t>
      </w:r>
      <w:r>
        <w:rPr>
          <w:rFonts w:cs="Times New Roman"/>
          <w:color w:val="000000" w:themeColor="text1"/>
        </w:rPr>
        <w:t>s</w:t>
      </w:r>
      <w:r w:rsidRPr="00BE72A3">
        <w:rPr>
          <w:rFonts w:cs="Times New Roman"/>
          <w:color w:val="000000" w:themeColor="text1"/>
        </w:rPr>
        <w:t xml:space="preserve"> </w:t>
      </w:r>
      <w:r w:rsidR="00614147">
        <w:rPr>
          <w:rFonts w:cs="Times New Roman"/>
          <w:color w:val="000000" w:themeColor="text1"/>
        </w:rPr>
        <w:t xml:space="preserve">were </w:t>
      </w:r>
      <w:r>
        <w:rPr>
          <w:rFonts w:cs="Times New Roman"/>
          <w:color w:val="000000" w:themeColor="text1"/>
        </w:rPr>
        <w:t>performed on 3 separate</w:t>
      </w:r>
      <w:r w:rsidRPr="00BE72A3">
        <w:rPr>
          <w:rFonts w:cs="Times New Roman"/>
          <w:color w:val="000000" w:themeColor="text1"/>
        </w:rPr>
        <w:t xml:space="preserve"> days. Standard curves were linear with R</w:t>
      </w:r>
      <w:r w:rsidRPr="00BE72A3">
        <w:rPr>
          <w:rFonts w:cs="Times New Roman"/>
          <w:color w:val="000000" w:themeColor="text1"/>
          <w:vertAlign w:val="superscript"/>
        </w:rPr>
        <w:t>2</w:t>
      </w:r>
      <w:r w:rsidRPr="00BE72A3">
        <w:rPr>
          <w:rFonts w:cs="Times New Roman"/>
          <w:color w:val="000000" w:themeColor="text1"/>
        </w:rPr>
        <w:t xml:space="preserve"> values </w:t>
      </w:r>
      <w:r w:rsidRPr="00BE72A3">
        <w:rPr>
          <w:rFonts w:cs="Times New Roman"/>
          <w:color w:val="000000" w:themeColor="text1"/>
        </w:rPr>
        <w:sym w:font="Symbol" w:char="F0B3"/>
      </w:r>
      <w:r w:rsidRPr="00BE72A3">
        <w:rPr>
          <w:rFonts w:cs="Times New Roman"/>
          <w:color w:val="000000" w:themeColor="text1"/>
        </w:rPr>
        <w:t xml:space="preserve"> 0.98. Eight standard points, ranging from 8 ng/m</w:t>
      </w:r>
      <w:r>
        <w:rPr>
          <w:rFonts w:cs="Times New Roman"/>
          <w:color w:val="000000" w:themeColor="text1"/>
        </w:rPr>
        <w:t>L</w:t>
      </w:r>
      <w:r w:rsidRPr="00BE72A3">
        <w:rPr>
          <w:rFonts w:cs="Times New Roman"/>
          <w:color w:val="000000" w:themeColor="text1"/>
        </w:rPr>
        <w:t xml:space="preserve"> to 400 ng/mL</w:t>
      </w:r>
      <w:r w:rsidR="00727839">
        <w:rPr>
          <w:rFonts w:cs="Times New Roman"/>
          <w:color w:val="000000" w:themeColor="text1"/>
        </w:rPr>
        <w:t>,</w:t>
      </w:r>
      <w:r w:rsidRPr="00BE72A3">
        <w:rPr>
          <w:rFonts w:cs="Times New Roman"/>
          <w:color w:val="000000" w:themeColor="text1"/>
        </w:rPr>
        <w:t xml:space="preserve"> were used to generate standard curves</w:t>
      </w:r>
      <w:r>
        <w:rPr>
          <w:rFonts w:cs="Times New Roman"/>
          <w:color w:val="000000" w:themeColor="text1"/>
        </w:rPr>
        <w:t xml:space="preserve"> with</w:t>
      </w:r>
      <w:r w:rsidRPr="00BE72A3">
        <w:rPr>
          <w:rFonts w:cs="Times New Roman"/>
          <w:color w:val="000000" w:themeColor="text1"/>
        </w:rPr>
        <w:t xml:space="preserve"> weighting </w:t>
      </w:r>
      <w:r>
        <w:rPr>
          <w:rFonts w:cs="Times New Roman"/>
          <w:color w:val="000000" w:themeColor="text1"/>
        </w:rPr>
        <w:t>at</w:t>
      </w:r>
      <w:r w:rsidRPr="00BE72A3">
        <w:rPr>
          <w:rFonts w:cs="Times New Roman"/>
          <w:color w:val="000000" w:themeColor="text1"/>
        </w:rPr>
        <w:t xml:space="preserve"> 1/X</w:t>
      </w:r>
      <w:r w:rsidRPr="00BE72A3">
        <w:rPr>
          <w:rFonts w:cs="Times New Roman"/>
          <w:color w:val="000000" w:themeColor="text1"/>
          <w:vertAlign w:val="superscript"/>
        </w:rPr>
        <w:t>2</w:t>
      </w:r>
      <w:r w:rsidRPr="00BE72A3">
        <w:rPr>
          <w:rFonts w:cs="Times New Roman"/>
          <w:color w:val="000000" w:themeColor="text1"/>
        </w:rPr>
        <w:t>.</w:t>
      </w:r>
    </w:p>
    <w:p w14:paraId="6F349EDD" w14:textId="77777777" w:rsidR="0029566F" w:rsidRPr="00BE72A3" w:rsidRDefault="0029566F" w:rsidP="00DD1138">
      <w:pPr>
        <w:spacing w:before="0" w:after="0"/>
        <w:jc w:val="both"/>
        <w:rPr>
          <w:rFonts w:cs="Times New Roman"/>
          <w:color w:val="000000" w:themeColor="text1"/>
        </w:rPr>
      </w:pPr>
    </w:p>
    <w:p w14:paraId="0C6B84D0" w14:textId="77777777" w:rsidR="00A94599" w:rsidRDefault="00A94599" w:rsidP="00DD1138">
      <w:pPr>
        <w:spacing w:before="0" w:after="0"/>
        <w:rPr>
          <w:rFonts w:cs="Times New Roman"/>
          <w:color w:val="000000" w:themeColor="text1"/>
        </w:rPr>
      </w:pPr>
    </w:p>
    <w:p w14:paraId="13D2DBBC" w14:textId="76B51DE8" w:rsidR="00A94599" w:rsidRDefault="00A94599" w:rsidP="00DD1138">
      <w:pPr>
        <w:spacing w:before="0" w:after="0"/>
        <w:jc w:val="center"/>
        <w:rPr>
          <w:rFonts w:cs="Times New Roman"/>
          <w:color w:val="000000" w:themeColor="text1"/>
        </w:rPr>
      </w:pPr>
    </w:p>
    <w:p w14:paraId="26BEE0AE" w14:textId="33C9B78D" w:rsidR="004512A0" w:rsidRDefault="004512A0" w:rsidP="00DD1138">
      <w:pPr>
        <w:spacing w:before="0" w:after="0"/>
        <w:jc w:val="center"/>
        <w:rPr>
          <w:rFonts w:cs="Times New Roman"/>
          <w:color w:val="000000" w:themeColor="text1"/>
        </w:rPr>
      </w:pPr>
      <w:r>
        <w:rPr>
          <w:rFonts w:cs="Times New Roman"/>
          <w:noProof/>
          <w:color w:val="000000" w:themeColor="text1"/>
        </w:rPr>
        <w:lastRenderedPageBreak/>
        <w:drawing>
          <wp:inline distT="0" distB="0" distL="0" distR="0" wp14:anchorId="5C937742" wp14:editId="00F7A2C0">
            <wp:extent cx="6208395" cy="1661795"/>
            <wp:effectExtent l="0" t="0" r="1905" b="0"/>
            <wp:docPr id="13023449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344994" name="Picture 1302344994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166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44694E" w14:textId="534CA1B3" w:rsidR="00A94599" w:rsidRDefault="00A94599" w:rsidP="0029566F">
      <w:pPr>
        <w:tabs>
          <w:tab w:val="left" w:pos="2753"/>
        </w:tabs>
        <w:spacing w:before="0" w:after="0"/>
        <w:jc w:val="both"/>
        <w:rPr>
          <w:rFonts w:cs="Times New Roman"/>
          <w:b/>
          <w:bCs/>
          <w:color w:val="000000" w:themeColor="text1"/>
        </w:rPr>
      </w:pPr>
      <w:r w:rsidRPr="00BE72A3">
        <w:rPr>
          <w:rFonts w:cs="Times New Roman"/>
          <w:b/>
          <w:bCs/>
          <w:color w:val="000000" w:themeColor="text1"/>
        </w:rPr>
        <w:t>Figure S3</w:t>
      </w:r>
      <w:r w:rsidRPr="00BE72A3">
        <w:rPr>
          <w:rFonts w:cs="Times New Roman"/>
          <w:color w:val="000000" w:themeColor="text1"/>
        </w:rPr>
        <w:t xml:space="preserve">. </w:t>
      </w:r>
      <w:r w:rsidRPr="00BE72A3">
        <w:rPr>
          <w:color w:val="000000" w:themeColor="text1"/>
        </w:rPr>
        <w:t>Physiological effect of 10 mg/kg of CBG in male and female C57BL/6Crl mice</w:t>
      </w:r>
      <w:r w:rsidRPr="00BE72A3">
        <w:t>. Data are presented for each sex for each route of administration</w:t>
      </w:r>
      <w:r>
        <w:t>, intravenous (</w:t>
      </w:r>
      <w:proofErr w:type="spellStart"/>
      <w:r w:rsidRPr="00BE72A3">
        <w:rPr>
          <w:i/>
          <w:iCs/>
        </w:rPr>
        <w:t>i.v.</w:t>
      </w:r>
      <w:proofErr w:type="spellEnd"/>
      <w:r w:rsidRPr="00DD1138">
        <w:t>),</w:t>
      </w:r>
      <w:r w:rsidRPr="00BE72A3">
        <w:t xml:space="preserve"> </w:t>
      </w:r>
      <w:r>
        <w:t>intraperitoneal (</w:t>
      </w:r>
      <w:proofErr w:type="spellStart"/>
      <w:r w:rsidRPr="00BE72A3">
        <w:rPr>
          <w:i/>
          <w:iCs/>
        </w:rPr>
        <w:t>i.p.</w:t>
      </w:r>
      <w:proofErr w:type="spellEnd"/>
      <w:r w:rsidRPr="00DD1138">
        <w:t>),</w:t>
      </w:r>
      <w:r w:rsidRPr="00BE72A3">
        <w:rPr>
          <w:i/>
          <w:iCs/>
        </w:rPr>
        <w:t xml:space="preserve"> </w:t>
      </w:r>
      <w:r w:rsidRPr="00BE72A3">
        <w:t xml:space="preserve">or </w:t>
      </w:r>
      <w:r w:rsidR="00B4686B">
        <w:t xml:space="preserve">oral </w:t>
      </w:r>
      <w:r>
        <w:t>(</w:t>
      </w:r>
      <w:proofErr w:type="spellStart"/>
      <w:r w:rsidRPr="00BE72A3">
        <w:rPr>
          <w:i/>
          <w:iCs/>
        </w:rPr>
        <w:t>p.o.</w:t>
      </w:r>
      <w:proofErr w:type="spellEnd"/>
      <w:r w:rsidRPr="00DD1138">
        <w:t>)</w:t>
      </w:r>
      <w:r>
        <w:rPr>
          <w:i/>
          <w:iCs/>
        </w:rPr>
        <w:t>.</w:t>
      </w:r>
      <w:r w:rsidRPr="00BE72A3">
        <w:t xml:space="preserve"> (</w:t>
      </w:r>
      <w:r w:rsidRPr="00BE72A3">
        <w:rPr>
          <w:b/>
          <w:bCs/>
        </w:rPr>
        <w:t xml:space="preserve">a) </w:t>
      </w:r>
      <w:r w:rsidRPr="00BE72A3">
        <w:t xml:space="preserve">Catalepsy time was 5 min post-injection for </w:t>
      </w:r>
      <w:proofErr w:type="spellStart"/>
      <w:r w:rsidRPr="00BE72A3">
        <w:rPr>
          <w:i/>
          <w:iCs/>
        </w:rPr>
        <w:t>i.v.</w:t>
      </w:r>
      <w:proofErr w:type="spellEnd"/>
      <w:r w:rsidRPr="00BE72A3">
        <w:rPr>
          <w:i/>
          <w:iCs/>
        </w:rPr>
        <w:t xml:space="preserve"> </w:t>
      </w:r>
      <w:r w:rsidRPr="00BE72A3">
        <w:t xml:space="preserve">CBG; 20 min post-injection for </w:t>
      </w:r>
      <w:proofErr w:type="spellStart"/>
      <w:r w:rsidRPr="00BE72A3">
        <w:rPr>
          <w:i/>
          <w:iCs/>
        </w:rPr>
        <w:t>i.p.</w:t>
      </w:r>
      <w:proofErr w:type="spellEnd"/>
      <w:r w:rsidRPr="00BE72A3">
        <w:rPr>
          <w:i/>
          <w:iCs/>
        </w:rPr>
        <w:t xml:space="preserve"> </w:t>
      </w:r>
      <w:r w:rsidRPr="00BE72A3">
        <w:t xml:space="preserve">CBG; and 170 min post-injection for </w:t>
      </w:r>
      <w:proofErr w:type="spellStart"/>
      <w:r w:rsidRPr="00BE72A3">
        <w:rPr>
          <w:i/>
          <w:iCs/>
        </w:rPr>
        <w:t>p.o.</w:t>
      </w:r>
      <w:proofErr w:type="spellEnd"/>
      <w:r w:rsidRPr="00BE72A3">
        <w:rPr>
          <w:i/>
          <w:iCs/>
        </w:rPr>
        <w:t xml:space="preserve"> </w:t>
      </w:r>
      <w:r w:rsidRPr="00BE72A3">
        <w:t>CBG. (</w:t>
      </w:r>
      <w:r w:rsidRPr="00BE72A3">
        <w:rPr>
          <w:b/>
          <w:bCs/>
        </w:rPr>
        <w:t>b</w:t>
      </w:r>
      <w:r w:rsidRPr="00BE72A3">
        <w:t xml:space="preserve">) Body temperature time was 15 min post-injection for </w:t>
      </w:r>
      <w:proofErr w:type="spellStart"/>
      <w:r w:rsidRPr="00BE72A3">
        <w:rPr>
          <w:i/>
          <w:iCs/>
        </w:rPr>
        <w:t>i.v.</w:t>
      </w:r>
      <w:proofErr w:type="spellEnd"/>
      <w:r w:rsidRPr="00BE72A3">
        <w:rPr>
          <w:i/>
          <w:iCs/>
        </w:rPr>
        <w:t xml:space="preserve"> </w:t>
      </w:r>
      <w:r w:rsidRPr="00BE72A3">
        <w:t xml:space="preserve">CBG; 25 min post-injection for </w:t>
      </w:r>
      <w:proofErr w:type="spellStart"/>
      <w:r w:rsidRPr="00BE72A3">
        <w:rPr>
          <w:i/>
          <w:iCs/>
        </w:rPr>
        <w:t>i.p.</w:t>
      </w:r>
      <w:proofErr w:type="spellEnd"/>
      <w:r w:rsidRPr="00BE72A3">
        <w:rPr>
          <w:i/>
          <w:iCs/>
        </w:rPr>
        <w:t xml:space="preserve"> </w:t>
      </w:r>
      <w:r w:rsidRPr="00BE72A3">
        <w:t xml:space="preserve">CBG; and 175 min post-injection for </w:t>
      </w:r>
      <w:proofErr w:type="spellStart"/>
      <w:r w:rsidRPr="00BE72A3">
        <w:rPr>
          <w:i/>
          <w:iCs/>
        </w:rPr>
        <w:t>p.o.</w:t>
      </w:r>
      <w:proofErr w:type="spellEnd"/>
      <w:r w:rsidRPr="00BE72A3">
        <w:rPr>
          <w:i/>
          <w:iCs/>
        </w:rPr>
        <w:t xml:space="preserve"> </w:t>
      </w:r>
      <w:r w:rsidRPr="00BE72A3">
        <w:t xml:space="preserve">CBG </w:t>
      </w:r>
      <w:r w:rsidRPr="00BE72A3">
        <w:rPr>
          <w:rFonts w:cs="Times New Roman"/>
          <w:color w:val="000000" w:themeColor="text1"/>
        </w:rPr>
        <w:t>(dotted line represents 37.5°C)</w:t>
      </w:r>
      <w:r w:rsidRPr="00BE72A3">
        <w:t>. (</w:t>
      </w:r>
      <w:r w:rsidRPr="00BE72A3">
        <w:rPr>
          <w:b/>
          <w:bCs/>
        </w:rPr>
        <w:t>c</w:t>
      </w:r>
      <w:r w:rsidRPr="00BE72A3">
        <w:t xml:space="preserve">) Nociception in the tail-flick latency test was 20 min post-injection for </w:t>
      </w:r>
      <w:proofErr w:type="spellStart"/>
      <w:r w:rsidRPr="00BE72A3">
        <w:rPr>
          <w:i/>
          <w:iCs/>
        </w:rPr>
        <w:t>i.v.</w:t>
      </w:r>
      <w:proofErr w:type="spellEnd"/>
      <w:r w:rsidRPr="00BE72A3">
        <w:rPr>
          <w:i/>
          <w:iCs/>
        </w:rPr>
        <w:t xml:space="preserve"> </w:t>
      </w:r>
      <w:r w:rsidRPr="00BE72A3">
        <w:t xml:space="preserve">CBG; 30 min post-injection for </w:t>
      </w:r>
      <w:proofErr w:type="spellStart"/>
      <w:r w:rsidRPr="00BE72A3">
        <w:rPr>
          <w:i/>
          <w:iCs/>
        </w:rPr>
        <w:t>i.p.</w:t>
      </w:r>
      <w:proofErr w:type="spellEnd"/>
      <w:r w:rsidRPr="00BE72A3">
        <w:rPr>
          <w:i/>
          <w:iCs/>
        </w:rPr>
        <w:t xml:space="preserve"> </w:t>
      </w:r>
      <w:r w:rsidRPr="00BE72A3">
        <w:t xml:space="preserve">CBG; and 180 min post-injection for </w:t>
      </w:r>
      <w:proofErr w:type="spellStart"/>
      <w:r w:rsidRPr="00BE72A3">
        <w:rPr>
          <w:i/>
          <w:iCs/>
        </w:rPr>
        <w:t>p.o.</w:t>
      </w:r>
      <w:proofErr w:type="spellEnd"/>
      <w:r w:rsidRPr="00BE72A3">
        <w:rPr>
          <w:i/>
          <w:iCs/>
        </w:rPr>
        <w:t xml:space="preserve"> </w:t>
      </w:r>
      <w:r w:rsidRPr="00BE72A3">
        <w:t xml:space="preserve">CBG. Data for catalepsy are represented as </w:t>
      </w:r>
      <w:r w:rsidRPr="007C2F9F">
        <w:rPr>
          <w:rFonts w:cs="Times New Roman"/>
          <w:color w:val="000000" w:themeColor="text1"/>
        </w:rPr>
        <w:t xml:space="preserve">the % maximum possible effect </w:t>
      </w:r>
      <w:r>
        <w:t>(</w:t>
      </w:r>
      <w:r w:rsidRPr="00BE72A3">
        <w:t>MPE</w:t>
      </w:r>
      <w:r>
        <w:t>)</w:t>
      </w:r>
      <w:r w:rsidRPr="00BE72A3">
        <w:t xml:space="preserve"> during a maximum of 60 sec. </w:t>
      </w:r>
      <w:r w:rsidRPr="00BE72A3">
        <w:rPr>
          <w:rFonts w:cs="Times New Roman"/>
          <w:color w:val="000000" w:themeColor="text1"/>
        </w:rPr>
        <w:t xml:space="preserve">Body temperature data are expressed as the measured body temperature via a rectal thermometer (°C). Tail-flick latency data are expressed as the % </w:t>
      </w:r>
      <w:r w:rsidRPr="007C2F9F">
        <w:t>MPE</w:t>
      </w:r>
      <w:r w:rsidRPr="0016422F" w:rsidDel="0016422F">
        <w:rPr>
          <w:rFonts w:cs="Times New Roman"/>
          <w:color w:val="000000" w:themeColor="text1"/>
        </w:rPr>
        <w:t xml:space="preserve"> </w:t>
      </w:r>
      <w:r>
        <w:rPr>
          <w:rFonts w:cs="Times New Roman"/>
          <w:color w:val="000000" w:themeColor="text1"/>
        </w:rPr>
        <w:t>during a maximum of</w:t>
      </w:r>
      <w:r w:rsidRPr="00BE72A3">
        <w:rPr>
          <w:rFonts w:cs="Times New Roman"/>
          <w:color w:val="000000" w:themeColor="text1"/>
        </w:rPr>
        <w:t xml:space="preserve"> 20 sec. n</w:t>
      </w:r>
      <w:r>
        <w:rPr>
          <w:rFonts w:cs="Times New Roman"/>
          <w:color w:val="000000" w:themeColor="text1"/>
        </w:rPr>
        <w:t xml:space="preserve"> </w:t>
      </w:r>
      <w:r w:rsidRPr="00BE72A3">
        <w:rPr>
          <w:rFonts w:cs="Times New Roman"/>
          <w:color w:val="000000" w:themeColor="text1"/>
        </w:rPr>
        <w:t>=</w:t>
      </w:r>
      <w:r>
        <w:rPr>
          <w:rFonts w:cs="Times New Roman"/>
          <w:color w:val="000000" w:themeColor="text1"/>
        </w:rPr>
        <w:t xml:space="preserve"> </w:t>
      </w:r>
      <w:r w:rsidRPr="00BE72A3">
        <w:rPr>
          <w:rFonts w:cs="Times New Roman"/>
          <w:color w:val="000000" w:themeColor="text1"/>
        </w:rPr>
        <w:t>4</w:t>
      </w:r>
      <w:r>
        <w:rPr>
          <w:rFonts w:cs="Times New Roman"/>
          <w:color w:val="000000" w:themeColor="text1"/>
        </w:rPr>
        <w:t xml:space="preserve"> </w:t>
      </w:r>
      <w:r w:rsidRPr="00BE72A3">
        <w:rPr>
          <w:rFonts w:cs="Times New Roman"/>
          <w:color w:val="000000" w:themeColor="text1"/>
        </w:rPr>
        <w:t>-</w:t>
      </w:r>
      <w:r>
        <w:rPr>
          <w:rFonts w:cs="Times New Roman"/>
          <w:color w:val="000000" w:themeColor="text1"/>
        </w:rPr>
        <w:t xml:space="preserve"> </w:t>
      </w:r>
      <w:r w:rsidRPr="00BE72A3">
        <w:rPr>
          <w:rFonts w:cs="Times New Roman"/>
          <w:color w:val="000000" w:themeColor="text1"/>
        </w:rPr>
        <w:t xml:space="preserve">12 animals per treatment group. </w:t>
      </w:r>
      <w:r w:rsidRPr="00BE72A3">
        <w:t>Data are expressed as mean ± SEM.</w:t>
      </w:r>
      <w:bookmarkStart w:id="3" w:name="OLE_LINK9"/>
      <w:r w:rsidR="0029566F" w:rsidRPr="0029566F">
        <w:t xml:space="preserve"> </w:t>
      </w:r>
      <w:r w:rsidR="004512A0">
        <w:t xml:space="preserve">****p&lt;0.0001, </w:t>
      </w:r>
      <w:r w:rsidR="0029566F" w:rsidRPr="0080155D">
        <w:t xml:space="preserve">**p &lt; 0.01, and *p &lt; 0.05 as determined by </w:t>
      </w:r>
      <w:r w:rsidR="004512A0">
        <w:t xml:space="preserve">two-way ANOVA (route </w:t>
      </w:r>
      <w:r w:rsidR="004512A0">
        <w:rPr>
          <w:i/>
          <w:iCs/>
        </w:rPr>
        <w:t xml:space="preserve">x </w:t>
      </w:r>
      <w:r w:rsidR="004512A0">
        <w:t>treatment) followed by Tukey’s post-hoc test.</w:t>
      </w:r>
      <w:r w:rsidR="004512A0" w:rsidRPr="0080155D">
        <w:t xml:space="preserve"> </w:t>
      </w:r>
      <w:r w:rsidR="004512A0" w:rsidRPr="0080155D">
        <w:rPr>
          <w:rFonts w:cs="Times New Roman"/>
          <w:i/>
          <w:iCs/>
          <w:color w:val="000000" w:themeColor="text1"/>
        </w:rPr>
        <w:t>Note</w:t>
      </w:r>
      <w:r w:rsidR="004512A0" w:rsidRPr="0080155D">
        <w:rPr>
          <w:rFonts w:cs="Times New Roman"/>
          <w:color w:val="000000" w:themeColor="text1"/>
        </w:rPr>
        <w:t xml:space="preserve">, </w:t>
      </w:r>
      <w:r w:rsidR="004512A0">
        <w:rPr>
          <w:rFonts w:cs="Times New Roman"/>
          <w:color w:val="000000" w:themeColor="text1"/>
        </w:rPr>
        <w:t xml:space="preserve">vehicle data were previously included in Zagzoog et al. (2024); and the </w:t>
      </w:r>
      <w:r w:rsidR="004512A0" w:rsidRPr="0080155D">
        <w:rPr>
          <w:rFonts w:cs="Times New Roman"/>
          <w:color w:val="000000" w:themeColor="text1"/>
        </w:rPr>
        <w:t>scale of y-axes varies between panels.</w:t>
      </w:r>
      <w:bookmarkStart w:id="4" w:name="OLE_LINK4"/>
      <w:bookmarkEnd w:id="3"/>
      <w:r w:rsidRPr="00BE72A3">
        <w:rPr>
          <w:rFonts w:cs="Times New Roman"/>
          <w:color w:val="000000" w:themeColor="text1"/>
        </w:rPr>
        <w:t xml:space="preserve"> Corresponding data </w:t>
      </w:r>
      <w:r w:rsidR="00727839">
        <w:rPr>
          <w:rFonts w:cs="Times New Roman"/>
          <w:color w:val="000000" w:themeColor="text1"/>
        </w:rPr>
        <w:t>for</w:t>
      </w:r>
      <w:r w:rsidR="00727839" w:rsidRPr="00BE72A3">
        <w:rPr>
          <w:rFonts w:cs="Times New Roman"/>
          <w:color w:val="000000" w:themeColor="text1"/>
        </w:rPr>
        <w:t xml:space="preserve"> </w:t>
      </w:r>
      <w:r w:rsidRPr="00BE72A3">
        <w:rPr>
          <w:rFonts w:cs="Times New Roman"/>
          <w:color w:val="000000" w:themeColor="text1"/>
        </w:rPr>
        <w:t xml:space="preserve">both sexes are presented in </w:t>
      </w:r>
      <w:r w:rsidRPr="00BE72A3">
        <w:rPr>
          <w:rFonts w:cs="Times New Roman"/>
          <w:b/>
          <w:bCs/>
          <w:color w:val="000000" w:themeColor="text1"/>
        </w:rPr>
        <w:t>Figure 5.</w:t>
      </w:r>
    </w:p>
    <w:p w14:paraId="32773675" w14:textId="77777777" w:rsidR="0029566F" w:rsidRDefault="0029566F" w:rsidP="0029566F">
      <w:pPr>
        <w:tabs>
          <w:tab w:val="left" w:pos="2753"/>
        </w:tabs>
        <w:spacing w:before="0" w:after="0"/>
        <w:jc w:val="both"/>
        <w:rPr>
          <w:rFonts w:cs="Times New Roman"/>
          <w:b/>
          <w:bCs/>
          <w:color w:val="000000" w:themeColor="text1"/>
        </w:rPr>
      </w:pPr>
    </w:p>
    <w:p w14:paraId="42672A96" w14:textId="77777777" w:rsidR="0029566F" w:rsidRDefault="0029566F" w:rsidP="0029566F">
      <w:pPr>
        <w:tabs>
          <w:tab w:val="left" w:pos="2753"/>
        </w:tabs>
        <w:spacing w:before="0" w:after="0"/>
        <w:jc w:val="both"/>
        <w:rPr>
          <w:rFonts w:cs="Times New Roman"/>
          <w:b/>
          <w:bCs/>
          <w:color w:val="000000" w:themeColor="text1"/>
        </w:rPr>
      </w:pPr>
    </w:p>
    <w:p w14:paraId="6A441CE4" w14:textId="77777777" w:rsidR="0029566F" w:rsidRDefault="0029566F" w:rsidP="0029566F">
      <w:pPr>
        <w:tabs>
          <w:tab w:val="left" w:pos="2753"/>
        </w:tabs>
        <w:spacing w:before="0" w:after="0"/>
        <w:jc w:val="both"/>
        <w:rPr>
          <w:rFonts w:cs="Times New Roman"/>
          <w:b/>
          <w:bCs/>
          <w:color w:val="000000" w:themeColor="text1"/>
        </w:rPr>
      </w:pPr>
    </w:p>
    <w:p w14:paraId="42203612" w14:textId="77777777" w:rsidR="0029566F" w:rsidRDefault="0029566F" w:rsidP="0029566F">
      <w:pPr>
        <w:tabs>
          <w:tab w:val="left" w:pos="2753"/>
        </w:tabs>
        <w:spacing w:before="0" w:after="0"/>
        <w:jc w:val="both"/>
        <w:rPr>
          <w:rFonts w:cs="Times New Roman"/>
          <w:b/>
          <w:bCs/>
          <w:color w:val="000000" w:themeColor="text1"/>
        </w:rPr>
      </w:pPr>
    </w:p>
    <w:p w14:paraId="375808FD" w14:textId="77777777" w:rsidR="0029566F" w:rsidRPr="00BE72A3" w:rsidRDefault="0029566F" w:rsidP="00DD1138">
      <w:pPr>
        <w:tabs>
          <w:tab w:val="left" w:pos="2753"/>
        </w:tabs>
        <w:spacing w:before="0" w:after="0"/>
        <w:jc w:val="both"/>
        <w:rPr>
          <w:rFonts w:cs="Times New Roman"/>
          <w:b/>
          <w:bCs/>
          <w:color w:val="000000" w:themeColor="text1"/>
        </w:rPr>
      </w:pPr>
    </w:p>
    <w:bookmarkEnd w:id="4"/>
    <w:p w14:paraId="7757861C" w14:textId="77777777" w:rsidR="00A94599" w:rsidRPr="0016422F" w:rsidRDefault="00A94599" w:rsidP="00DD1138">
      <w:pPr>
        <w:spacing w:before="0" w:after="0"/>
        <w:rPr>
          <w:rFonts w:cs="Times New Roman"/>
          <w:color w:val="000000" w:themeColor="text1"/>
        </w:rPr>
      </w:pPr>
    </w:p>
    <w:p w14:paraId="55FD8251" w14:textId="77777777" w:rsidR="00A94599" w:rsidRDefault="00A94599" w:rsidP="00DD1138">
      <w:pPr>
        <w:spacing w:before="0" w:after="0"/>
        <w:jc w:val="center"/>
        <w:rPr>
          <w:rFonts w:cs="Times New Roman"/>
          <w:color w:val="000000" w:themeColor="text1"/>
        </w:rPr>
      </w:pPr>
      <w:r>
        <w:rPr>
          <w:rFonts w:cs="Times New Roman"/>
          <w:noProof/>
          <w:color w:val="000000" w:themeColor="text1"/>
        </w:rPr>
        <w:lastRenderedPageBreak/>
        <w:drawing>
          <wp:inline distT="0" distB="0" distL="0" distR="0" wp14:anchorId="06CED6E4" wp14:editId="481690C4">
            <wp:extent cx="5943600" cy="3640455"/>
            <wp:effectExtent l="0" t="0" r="0" b="0"/>
            <wp:docPr id="1760160656" name="Picture 2" descr="A diagram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0160656" name="Picture 2" descr="A diagram of a graph&#10;&#10;Description automatically generated with medium confidence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4045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7AD64A" w14:textId="0C2B4B68" w:rsidR="00A94599" w:rsidRPr="001F33F6" w:rsidRDefault="00A94599" w:rsidP="00DD1138">
      <w:pPr>
        <w:tabs>
          <w:tab w:val="left" w:pos="2753"/>
        </w:tabs>
        <w:spacing w:before="0" w:after="0"/>
        <w:jc w:val="both"/>
        <w:rPr>
          <w:rFonts w:cs="Times New Roman"/>
          <w:b/>
          <w:bCs/>
          <w:color w:val="000000" w:themeColor="text1"/>
        </w:rPr>
      </w:pPr>
      <w:r w:rsidRPr="00BE72A3">
        <w:rPr>
          <w:rFonts w:cs="Times New Roman"/>
          <w:b/>
          <w:bCs/>
          <w:color w:val="000000" w:themeColor="text1"/>
        </w:rPr>
        <w:t>Figure S4</w:t>
      </w:r>
      <w:r w:rsidRPr="00BE72A3">
        <w:rPr>
          <w:rFonts w:cs="Times New Roman"/>
          <w:color w:val="000000" w:themeColor="text1"/>
        </w:rPr>
        <w:t xml:space="preserve">. </w:t>
      </w:r>
      <w:r w:rsidRPr="00BE72A3">
        <w:rPr>
          <w:rFonts w:cs="Times New Roman"/>
          <w:noProof/>
        </w:rPr>
        <w:t xml:space="preserve">Open field </w:t>
      </w:r>
      <w:r>
        <w:rPr>
          <w:rFonts w:cs="Times New Roman"/>
          <w:noProof/>
        </w:rPr>
        <w:t xml:space="preserve">test (OFT) </w:t>
      </w:r>
      <w:r w:rsidRPr="00BE72A3">
        <w:rPr>
          <w:rFonts w:cs="Times New Roman"/>
          <w:noProof/>
        </w:rPr>
        <w:t xml:space="preserve">data for male and female mice treated with </w:t>
      </w:r>
      <w:r w:rsidRPr="00BE72A3">
        <w:t xml:space="preserve">10 mg/kg THC or CBG </w:t>
      </w:r>
      <w:r>
        <w:t>intravenous (</w:t>
      </w:r>
      <w:proofErr w:type="spellStart"/>
      <w:r w:rsidRPr="007C2F9F">
        <w:rPr>
          <w:i/>
          <w:iCs/>
        </w:rPr>
        <w:t>i.v.</w:t>
      </w:r>
      <w:proofErr w:type="spellEnd"/>
      <w:r w:rsidRPr="00DD1138">
        <w:t>),</w:t>
      </w:r>
      <w:r w:rsidRPr="007C2F9F">
        <w:t xml:space="preserve"> </w:t>
      </w:r>
      <w:r>
        <w:t>intraperitoneal (</w:t>
      </w:r>
      <w:proofErr w:type="spellStart"/>
      <w:r w:rsidRPr="007C2F9F">
        <w:rPr>
          <w:i/>
          <w:iCs/>
        </w:rPr>
        <w:t>i.p.</w:t>
      </w:r>
      <w:proofErr w:type="spellEnd"/>
      <w:r w:rsidRPr="00DD1138">
        <w:t>),</w:t>
      </w:r>
      <w:r w:rsidRPr="007C2F9F">
        <w:rPr>
          <w:i/>
          <w:iCs/>
        </w:rPr>
        <w:t xml:space="preserve"> </w:t>
      </w:r>
      <w:r w:rsidRPr="007C2F9F">
        <w:t xml:space="preserve">or </w:t>
      </w:r>
      <w:r w:rsidR="00B4686B">
        <w:t>oral</w:t>
      </w:r>
      <w:r>
        <w:t xml:space="preserve"> (</w:t>
      </w:r>
      <w:proofErr w:type="spellStart"/>
      <w:r w:rsidRPr="007C2F9F">
        <w:rPr>
          <w:i/>
          <w:iCs/>
        </w:rPr>
        <w:t>p.o.</w:t>
      </w:r>
      <w:proofErr w:type="spellEnd"/>
      <w:r w:rsidRPr="00DD1138">
        <w:t>).</w:t>
      </w:r>
      <w:r w:rsidRPr="00BE72A3">
        <w:rPr>
          <w:i/>
          <w:iCs/>
        </w:rPr>
        <w:t xml:space="preserve"> (</w:t>
      </w:r>
      <w:r w:rsidRPr="00BE72A3">
        <w:rPr>
          <w:rFonts w:cs="Times New Roman"/>
          <w:b/>
          <w:bCs/>
          <w:noProof/>
        </w:rPr>
        <w:t>a</w:t>
      </w:r>
      <w:r w:rsidRPr="00BE72A3">
        <w:rPr>
          <w:rFonts w:cs="Times New Roman"/>
          <w:noProof/>
        </w:rPr>
        <w:t>) Velocity (cm/sec). (</w:t>
      </w:r>
      <w:r w:rsidRPr="00BE72A3">
        <w:rPr>
          <w:rFonts w:cs="Times New Roman"/>
          <w:b/>
          <w:bCs/>
          <w:noProof/>
        </w:rPr>
        <w:t>b</w:t>
      </w:r>
      <w:r w:rsidRPr="00BE72A3">
        <w:rPr>
          <w:rFonts w:cs="Times New Roman"/>
          <w:noProof/>
        </w:rPr>
        <w:t>) Distance traveled (cm). (</w:t>
      </w:r>
      <w:r w:rsidRPr="00BE72A3">
        <w:rPr>
          <w:rFonts w:cs="Times New Roman"/>
          <w:b/>
          <w:bCs/>
          <w:noProof/>
        </w:rPr>
        <w:t>c</w:t>
      </w:r>
      <w:r w:rsidRPr="00BE72A3">
        <w:rPr>
          <w:rFonts w:cs="Times New Roman"/>
          <w:noProof/>
        </w:rPr>
        <w:t>) Time in center (sec). (</w:t>
      </w:r>
      <w:r w:rsidRPr="00BE72A3">
        <w:rPr>
          <w:rFonts w:cs="Times New Roman"/>
          <w:b/>
          <w:bCs/>
          <w:noProof/>
        </w:rPr>
        <w:t>d</w:t>
      </w:r>
      <w:r w:rsidRPr="00BE72A3">
        <w:rPr>
          <w:rFonts w:cs="Times New Roman"/>
          <w:noProof/>
        </w:rPr>
        <w:t xml:space="preserve">) Entries to the center. The </w:t>
      </w:r>
      <w:r w:rsidRPr="00BE72A3">
        <w:t xml:space="preserve">OFT data were recorded 25 min post-injection for all vehicle treatments, </w:t>
      </w:r>
      <w:proofErr w:type="spellStart"/>
      <w:r w:rsidRPr="00BE72A3">
        <w:rPr>
          <w:i/>
          <w:iCs/>
        </w:rPr>
        <w:t>i.v.</w:t>
      </w:r>
      <w:proofErr w:type="spellEnd"/>
      <w:r w:rsidRPr="00BE72A3">
        <w:rPr>
          <w:i/>
          <w:iCs/>
        </w:rPr>
        <w:t xml:space="preserve">, </w:t>
      </w:r>
      <w:proofErr w:type="spellStart"/>
      <w:r w:rsidRPr="00BE72A3">
        <w:rPr>
          <w:i/>
          <w:iCs/>
        </w:rPr>
        <w:t>i.p.</w:t>
      </w:r>
      <w:proofErr w:type="spellEnd"/>
      <w:r w:rsidRPr="00BE72A3">
        <w:rPr>
          <w:i/>
          <w:iCs/>
        </w:rPr>
        <w:t xml:space="preserve"> </w:t>
      </w:r>
      <w:r w:rsidRPr="00BE72A3">
        <w:t xml:space="preserve">THC and </w:t>
      </w:r>
      <w:proofErr w:type="spellStart"/>
      <w:r w:rsidRPr="00BE72A3">
        <w:rPr>
          <w:i/>
          <w:iCs/>
        </w:rPr>
        <w:t>i.v.</w:t>
      </w:r>
      <w:proofErr w:type="spellEnd"/>
      <w:r w:rsidRPr="00BE72A3">
        <w:rPr>
          <w:i/>
          <w:iCs/>
        </w:rPr>
        <w:t xml:space="preserve">, </w:t>
      </w:r>
      <w:r w:rsidRPr="00BE72A3">
        <w:t xml:space="preserve">CBG; 65 min post-injection for </w:t>
      </w:r>
      <w:proofErr w:type="spellStart"/>
      <w:r w:rsidRPr="00BE72A3">
        <w:rPr>
          <w:i/>
          <w:iCs/>
        </w:rPr>
        <w:t>p.o.</w:t>
      </w:r>
      <w:proofErr w:type="spellEnd"/>
      <w:r w:rsidRPr="00BE72A3">
        <w:t xml:space="preserve"> THC, 35 min post-injection for </w:t>
      </w:r>
      <w:proofErr w:type="spellStart"/>
      <w:r w:rsidRPr="00BE72A3">
        <w:rPr>
          <w:i/>
          <w:iCs/>
        </w:rPr>
        <w:t>i.p.</w:t>
      </w:r>
      <w:proofErr w:type="spellEnd"/>
      <w:r w:rsidRPr="00BE72A3">
        <w:rPr>
          <w:i/>
          <w:iCs/>
        </w:rPr>
        <w:t xml:space="preserve"> </w:t>
      </w:r>
      <w:r w:rsidRPr="00BE72A3">
        <w:t xml:space="preserve">CBG; and 185 min post-injection for </w:t>
      </w:r>
      <w:proofErr w:type="spellStart"/>
      <w:r w:rsidRPr="00BE72A3">
        <w:rPr>
          <w:i/>
          <w:iCs/>
        </w:rPr>
        <w:t>p.o.</w:t>
      </w:r>
      <w:proofErr w:type="spellEnd"/>
      <w:r w:rsidRPr="00BE72A3">
        <w:rPr>
          <w:i/>
          <w:iCs/>
        </w:rPr>
        <w:t xml:space="preserve"> </w:t>
      </w:r>
      <w:r w:rsidRPr="00BE72A3">
        <w:t xml:space="preserve">CBG. </w:t>
      </w:r>
      <w:r>
        <w:t xml:space="preserve">n </w:t>
      </w:r>
      <w:r w:rsidRPr="00BE72A3">
        <w:t>=</w:t>
      </w:r>
      <w:r>
        <w:t xml:space="preserve"> </w:t>
      </w:r>
      <w:r w:rsidRPr="00BE72A3">
        <w:t>3</w:t>
      </w:r>
      <w:r>
        <w:t xml:space="preserve"> </w:t>
      </w:r>
      <w:r w:rsidRPr="00BE72A3">
        <w:t>-</w:t>
      </w:r>
      <w:r>
        <w:t xml:space="preserve"> </w:t>
      </w:r>
      <w:r w:rsidRPr="00BE72A3">
        <w:t>6 animals per treatment group. Data are expressed as mean ± SEM. ****p &lt; 0.0001, ***p&lt;0.001, **p &lt; 0.01, and *p &lt; 0.05 as displayed and determined by two-way ANOVA</w:t>
      </w:r>
      <w:r w:rsidR="008B6CB4">
        <w:t xml:space="preserve"> (route </w:t>
      </w:r>
      <w:r w:rsidR="008B6CB4">
        <w:rPr>
          <w:i/>
          <w:iCs/>
        </w:rPr>
        <w:t xml:space="preserve">x </w:t>
      </w:r>
      <w:r w:rsidR="008B6CB4">
        <w:t>treatment and sex)</w:t>
      </w:r>
      <w:r w:rsidRPr="00BE72A3">
        <w:t xml:space="preserve"> followed by Tukey’s post-hoc test. </w:t>
      </w:r>
      <w:r w:rsidRPr="00BE72A3">
        <w:rPr>
          <w:rFonts w:cs="Times New Roman"/>
          <w:i/>
          <w:iCs/>
          <w:color w:val="000000" w:themeColor="text1"/>
        </w:rPr>
        <w:t>Note</w:t>
      </w:r>
      <w:r w:rsidRPr="00BE72A3">
        <w:rPr>
          <w:rFonts w:cs="Times New Roman"/>
          <w:color w:val="000000" w:themeColor="text1"/>
        </w:rPr>
        <w:t xml:space="preserve"> that the scale of y-axes varies between panels. Corresponding data separated by both sexes are presented in </w:t>
      </w:r>
      <w:r w:rsidRPr="00BE72A3">
        <w:rPr>
          <w:rFonts w:cs="Times New Roman"/>
          <w:b/>
          <w:bCs/>
          <w:color w:val="000000" w:themeColor="text1"/>
        </w:rPr>
        <w:t>Figure 6.</w:t>
      </w:r>
    </w:p>
    <w:p w14:paraId="2B7BAE0D" w14:textId="77777777" w:rsidR="00A94599" w:rsidRPr="00D76213" w:rsidRDefault="00A94599" w:rsidP="00DD1138">
      <w:pPr>
        <w:spacing w:before="0" w:after="0"/>
        <w:jc w:val="center"/>
        <w:rPr>
          <w:rFonts w:cs="Times New Roman"/>
          <w:color w:val="000000" w:themeColor="text1"/>
        </w:rPr>
      </w:pPr>
      <w:r>
        <w:rPr>
          <w:rFonts w:cs="Times New Roman"/>
          <w:noProof/>
          <w:color w:val="000000" w:themeColor="text1"/>
        </w:rPr>
        <w:lastRenderedPageBreak/>
        <w:drawing>
          <wp:inline distT="0" distB="0" distL="0" distR="0" wp14:anchorId="24BC81ED" wp14:editId="6ED128F4">
            <wp:extent cx="5943600" cy="4219575"/>
            <wp:effectExtent l="0" t="0" r="0" b="9525"/>
            <wp:docPr id="1061632003" name="Picture 3" descr="A group of graphs with green lin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632003" name="Picture 3" descr="A group of graphs with green lines&#10;&#10;Description automatically generated with medium confidence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195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D0E20B" w14:textId="2AD33186" w:rsidR="00A94599" w:rsidRDefault="00A94599" w:rsidP="00DD1138">
      <w:pPr>
        <w:tabs>
          <w:tab w:val="left" w:pos="2753"/>
        </w:tabs>
        <w:spacing w:before="0" w:after="0"/>
        <w:jc w:val="both"/>
        <w:rPr>
          <w:rFonts w:cs="Times New Roman"/>
          <w:b/>
          <w:bCs/>
          <w:color w:val="000000" w:themeColor="text1"/>
        </w:rPr>
      </w:pPr>
      <w:r w:rsidRPr="00BE72A3">
        <w:rPr>
          <w:rFonts w:cs="Times New Roman"/>
          <w:b/>
          <w:bCs/>
          <w:color w:val="000000" w:themeColor="text1"/>
        </w:rPr>
        <w:t>Figure S5.</w:t>
      </w:r>
      <w:r w:rsidRPr="00BE72A3">
        <w:rPr>
          <w:rFonts w:cs="Times New Roman"/>
          <w:color w:val="000000" w:themeColor="text1"/>
        </w:rPr>
        <w:t xml:space="preserve"> </w:t>
      </w:r>
      <w:r w:rsidRPr="00BE72A3">
        <w:rPr>
          <w:rFonts w:cs="Times New Roman"/>
          <w:noProof/>
          <w:color w:val="000000" w:themeColor="text1"/>
        </w:rPr>
        <w:t xml:space="preserve">Male </w:t>
      </w:r>
      <w:r w:rsidRPr="00BE72A3">
        <w:rPr>
          <w:rFonts w:cs="Times New Roman"/>
          <w:noProof/>
        </w:rPr>
        <w:t xml:space="preserve">and female mice aged 8-12 weeks were treated with 1, 3, 10, or 30 mg/kg </w:t>
      </w:r>
      <w:r>
        <w:rPr>
          <w:rFonts w:cs="Times New Roman"/>
          <w:noProof/>
        </w:rPr>
        <w:t>intravenous (</w:t>
      </w:r>
      <w:r w:rsidRPr="00BE72A3">
        <w:rPr>
          <w:rFonts w:cs="Times New Roman"/>
          <w:i/>
          <w:iCs/>
          <w:noProof/>
        </w:rPr>
        <w:t>i.v.</w:t>
      </w:r>
      <w:r w:rsidRPr="00DD1138">
        <w:rPr>
          <w:rFonts w:cs="Times New Roman"/>
          <w:noProof/>
        </w:rPr>
        <w:t>)</w:t>
      </w:r>
      <w:r w:rsidRPr="00BE72A3">
        <w:rPr>
          <w:rFonts w:cs="Times New Roman"/>
          <w:noProof/>
        </w:rPr>
        <w:t xml:space="preserve"> CBG. Animals were assessed for</w:t>
      </w:r>
      <w:r>
        <w:rPr>
          <w:rFonts w:cs="Times New Roman"/>
          <w:noProof/>
        </w:rPr>
        <w:t>:</w:t>
      </w:r>
      <w:r w:rsidRPr="00BE72A3">
        <w:rPr>
          <w:rFonts w:cs="Times New Roman"/>
          <w:noProof/>
        </w:rPr>
        <w:t xml:space="preserve"> (</w:t>
      </w:r>
      <w:r w:rsidRPr="00BE72A3">
        <w:rPr>
          <w:rFonts w:cs="Times New Roman"/>
          <w:b/>
          <w:bCs/>
          <w:noProof/>
        </w:rPr>
        <w:t>a,d</w:t>
      </w:r>
      <w:r w:rsidRPr="00BE72A3">
        <w:rPr>
          <w:rFonts w:cs="Times New Roman"/>
          <w:noProof/>
        </w:rPr>
        <w:t xml:space="preserve">) catalepsy 5 min post-injection; </w:t>
      </w:r>
      <w:r w:rsidRPr="00BE72A3">
        <w:rPr>
          <w:rFonts w:cs="Times New Roman"/>
          <w:color w:val="000000" w:themeColor="text1"/>
        </w:rPr>
        <w:t>(</w:t>
      </w:r>
      <w:proofErr w:type="spellStart"/>
      <w:r w:rsidRPr="00BE72A3">
        <w:rPr>
          <w:rFonts w:cs="Times New Roman"/>
          <w:b/>
          <w:bCs/>
          <w:color w:val="000000" w:themeColor="text1"/>
        </w:rPr>
        <w:t>b,e</w:t>
      </w:r>
      <w:proofErr w:type="spellEnd"/>
      <w:r w:rsidRPr="00BE72A3">
        <w:rPr>
          <w:rFonts w:cs="Times New Roman"/>
          <w:color w:val="000000" w:themeColor="text1"/>
        </w:rPr>
        <w:t>)</w:t>
      </w:r>
      <w:r w:rsidRPr="00BE72A3">
        <w:rPr>
          <w:rFonts w:cs="Times New Roman"/>
          <w:noProof/>
        </w:rPr>
        <w:t xml:space="preserve"> change in </w:t>
      </w:r>
      <w:r w:rsidRPr="00BE72A3">
        <w:rPr>
          <w:rFonts w:cs="Times New Roman"/>
          <w:color w:val="000000" w:themeColor="text1"/>
        </w:rPr>
        <w:t>body temperature 15 min post-injection; and (</w:t>
      </w:r>
      <w:proofErr w:type="spellStart"/>
      <w:r w:rsidRPr="00BE72A3">
        <w:rPr>
          <w:rFonts w:cs="Times New Roman"/>
          <w:b/>
          <w:bCs/>
          <w:color w:val="000000" w:themeColor="text1"/>
        </w:rPr>
        <w:t>c,f</w:t>
      </w:r>
      <w:proofErr w:type="spellEnd"/>
      <w:r w:rsidRPr="00BE72A3">
        <w:rPr>
          <w:rFonts w:cs="Times New Roman"/>
          <w:color w:val="000000" w:themeColor="text1"/>
        </w:rPr>
        <w:t xml:space="preserve">) anti-nociception in the tail flick assay 20 min post-injection. Catalepsy and tail flick latency data are expressed as the % maximum possible effect (MPE = 60 sec and 20 sec, respectively). All data was expressed as mean ± SEM and analyzed in GraphPad </w:t>
      </w:r>
      <w:r w:rsidR="00210E30" w:rsidRPr="002436F6">
        <w:t>(v. 10.2.3)</w:t>
      </w:r>
      <w:r w:rsidRPr="00BE72A3">
        <w:rPr>
          <w:rFonts w:cs="Times New Roman"/>
          <w:color w:val="000000" w:themeColor="text1"/>
        </w:rPr>
        <w:t xml:space="preserve">. </w:t>
      </w:r>
      <w:r>
        <w:rPr>
          <w:rFonts w:cs="Times New Roman"/>
          <w:color w:val="000000" w:themeColor="text1"/>
        </w:rPr>
        <w:t xml:space="preserve">n </w:t>
      </w:r>
      <w:r w:rsidRPr="00BE72A3">
        <w:rPr>
          <w:rFonts w:cs="Times New Roman"/>
          <w:color w:val="000000" w:themeColor="text1"/>
        </w:rPr>
        <w:t>=</w:t>
      </w:r>
      <w:r>
        <w:rPr>
          <w:rFonts w:cs="Times New Roman"/>
          <w:color w:val="000000" w:themeColor="text1"/>
        </w:rPr>
        <w:t xml:space="preserve"> </w:t>
      </w:r>
      <w:r w:rsidRPr="00BE72A3">
        <w:rPr>
          <w:rFonts w:cs="Times New Roman"/>
          <w:color w:val="000000" w:themeColor="text1"/>
        </w:rPr>
        <w:t xml:space="preserve">4 animals per treatment group. *p&lt;0.05, **p&lt;0.01 as determined by </w:t>
      </w:r>
      <w:r w:rsidRPr="00BE72A3">
        <w:rPr>
          <w:rFonts w:cs="Times New Roman"/>
        </w:rPr>
        <w:t>two-way ANOVA</w:t>
      </w:r>
      <w:r w:rsidR="008B6CB4">
        <w:rPr>
          <w:rFonts w:cs="Times New Roman"/>
        </w:rPr>
        <w:t xml:space="preserve"> (sex </w:t>
      </w:r>
      <w:r w:rsidR="008B6CB4">
        <w:rPr>
          <w:rFonts w:cs="Times New Roman"/>
          <w:i/>
          <w:iCs/>
        </w:rPr>
        <w:t xml:space="preserve">x </w:t>
      </w:r>
      <w:r w:rsidR="008B6CB4">
        <w:rPr>
          <w:rFonts w:cs="Times New Roman"/>
        </w:rPr>
        <w:t>dose)</w:t>
      </w:r>
      <w:r w:rsidRPr="00BE72A3">
        <w:rPr>
          <w:rFonts w:cs="Times New Roman"/>
        </w:rPr>
        <w:t xml:space="preserve"> followed by Tukey’s post-hoc analyses.</w:t>
      </w:r>
      <w:r w:rsidRPr="00BE72A3">
        <w:rPr>
          <w:rFonts w:cs="Times New Roman"/>
          <w:color w:val="000000" w:themeColor="text1"/>
        </w:rPr>
        <w:t xml:space="preserve"> Corresponding data separated by both sexes are presented in </w:t>
      </w:r>
      <w:r w:rsidRPr="00BE72A3">
        <w:rPr>
          <w:rFonts w:cs="Times New Roman"/>
          <w:b/>
          <w:bCs/>
          <w:color w:val="000000" w:themeColor="text1"/>
        </w:rPr>
        <w:t>Figure 8.</w:t>
      </w:r>
    </w:p>
    <w:p w14:paraId="5DAFB9D9" w14:textId="77777777" w:rsidR="00A23686" w:rsidRDefault="00A23686" w:rsidP="00DD1138">
      <w:pPr>
        <w:tabs>
          <w:tab w:val="left" w:pos="2753"/>
        </w:tabs>
        <w:spacing w:before="0" w:after="0"/>
        <w:jc w:val="both"/>
        <w:rPr>
          <w:rFonts w:cs="Times New Roman"/>
          <w:b/>
          <w:bCs/>
          <w:color w:val="000000" w:themeColor="text1"/>
        </w:rPr>
      </w:pPr>
    </w:p>
    <w:p w14:paraId="1EE17183" w14:textId="77777777" w:rsidR="001F33F6" w:rsidRDefault="001F33F6" w:rsidP="00DD1138">
      <w:pPr>
        <w:tabs>
          <w:tab w:val="left" w:pos="2753"/>
        </w:tabs>
        <w:spacing w:before="0" w:after="0"/>
        <w:jc w:val="both"/>
        <w:rPr>
          <w:rFonts w:cs="Times New Roman"/>
          <w:b/>
          <w:bCs/>
          <w:color w:val="000000" w:themeColor="text1"/>
        </w:rPr>
      </w:pPr>
    </w:p>
    <w:p w14:paraId="444D7025" w14:textId="77777777" w:rsidR="001F33F6" w:rsidRDefault="001F33F6" w:rsidP="00DD1138">
      <w:pPr>
        <w:tabs>
          <w:tab w:val="left" w:pos="2753"/>
        </w:tabs>
        <w:spacing w:before="0" w:after="0"/>
        <w:jc w:val="both"/>
        <w:rPr>
          <w:rFonts w:cs="Times New Roman"/>
          <w:b/>
          <w:bCs/>
          <w:color w:val="000000" w:themeColor="text1"/>
        </w:rPr>
      </w:pPr>
    </w:p>
    <w:p w14:paraId="084F9C2F" w14:textId="77777777" w:rsidR="001F33F6" w:rsidRDefault="001F33F6" w:rsidP="00DD1138">
      <w:pPr>
        <w:tabs>
          <w:tab w:val="left" w:pos="2753"/>
        </w:tabs>
        <w:spacing w:before="0" w:after="0"/>
        <w:jc w:val="both"/>
        <w:rPr>
          <w:rFonts w:cs="Times New Roman"/>
          <w:b/>
          <w:bCs/>
          <w:color w:val="000000" w:themeColor="text1"/>
        </w:rPr>
      </w:pPr>
    </w:p>
    <w:p w14:paraId="12C77706" w14:textId="77777777" w:rsidR="001F33F6" w:rsidRDefault="001F33F6" w:rsidP="00DD1138">
      <w:pPr>
        <w:tabs>
          <w:tab w:val="left" w:pos="2753"/>
        </w:tabs>
        <w:spacing w:before="0" w:after="0"/>
        <w:jc w:val="both"/>
        <w:rPr>
          <w:rFonts w:cs="Times New Roman"/>
          <w:b/>
          <w:bCs/>
          <w:color w:val="000000" w:themeColor="text1"/>
        </w:rPr>
      </w:pPr>
    </w:p>
    <w:p w14:paraId="3F46B710" w14:textId="77777777" w:rsidR="001F33F6" w:rsidRDefault="001F33F6" w:rsidP="00DD1138">
      <w:pPr>
        <w:tabs>
          <w:tab w:val="left" w:pos="2753"/>
        </w:tabs>
        <w:spacing w:before="0" w:after="0"/>
        <w:jc w:val="both"/>
        <w:rPr>
          <w:rFonts w:cs="Times New Roman"/>
          <w:b/>
          <w:bCs/>
          <w:color w:val="000000" w:themeColor="text1"/>
        </w:rPr>
      </w:pPr>
    </w:p>
    <w:p w14:paraId="2181D522" w14:textId="77777777" w:rsidR="001F33F6" w:rsidRDefault="001F33F6" w:rsidP="0029566F">
      <w:pPr>
        <w:tabs>
          <w:tab w:val="left" w:pos="2753"/>
        </w:tabs>
        <w:spacing w:before="0" w:after="0"/>
        <w:jc w:val="both"/>
        <w:rPr>
          <w:rFonts w:cs="Times New Roman"/>
          <w:b/>
          <w:bCs/>
          <w:color w:val="000000" w:themeColor="text1"/>
        </w:rPr>
      </w:pPr>
    </w:p>
    <w:p w14:paraId="52C2EAE5" w14:textId="77777777" w:rsidR="0029566F" w:rsidRDefault="0029566F" w:rsidP="0029566F">
      <w:pPr>
        <w:tabs>
          <w:tab w:val="left" w:pos="2753"/>
        </w:tabs>
        <w:spacing w:before="0" w:after="0"/>
        <w:jc w:val="both"/>
        <w:rPr>
          <w:rFonts w:cs="Times New Roman"/>
          <w:b/>
          <w:bCs/>
          <w:color w:val="000000" w:themeColor="text1"/>
        </w:rPr>
      </w:pPr>
    </w:p>
    <w:p w14:paraId="16BC266C" w14:textId="77777777" w:rsidR="0029566F" w:rsidRDefault="0029566F" w:rsidP="0029566F">
      <w:pPr>
        <w:tabs>
          <w:tab w:val="left" w:pos="2753"/>
        </w:tabs>
        <w:spacing w:before="0" w:after="0"/>
        <w:jc w:val="both"/>
        <w:rPr>
          <w:rFonts w:cs="Times New Roman"/>
          <w:b/>
          <w:bCs/>
          <w:color w:val="000000" w:themeColor="text1"/>
        </w:rPr>
      </w:pPr>
    </w:p>
    <w:p w14:paraId="5AC33EBC" w14:textId="77777777" w:rsidR="0029566F" w:rsidRDefault="0029566F" w:rsidP="0029566F">
      <w:pPr>
        <w:tabs>
          <w:tab w:val="left" w:pos="2753"/>
        </w:tabs>
        <w:spacing w:before="0" w:after="0"/>
        <w:jc w:val="both"/>
        <w:rPr>
          <w:rFonts w:cs="Times New Roman"/>
          <w:b/>
          <w:bCs/>
          <w:color w:val="000000" w:themeColor="text1"/>
        </w:rPr>
      </w:pPr>
    </w:p>
    <w:p w14:paraId="4A8958B2" w14:textId="77777777" w:rsidR="0029566F" w:rsidRDefault="0029566F" w:rsidP="0029566F">
      <w:pPr>
        <w:tabs>
          <w:tab w:val="left" w:pos="2753"/>
        </w:tabs>
        <w:spacing w:before="0" w:after="0"/>
        <w:jc w:val="both"/>
        <w:rPr>
          <w:rFonts w:cs="Times New Roman"/>
          <w:b/>
          <w:bCs/>
          <w:color w:val="000000" w:themeColor="text1"/>
        </w:rPr>
      </w:pPr>
    </w:p>
    <w:p w14:paraId="7B5CA849" w14:textId="77777777" w:rsidR="0029566F" w:rsidRDefault="0029566F" w:rsidP="0029566F">
      <w:pPr>
        <w:tabs>
          <w:tab w:val="left" w:pos="2753"/>
        </w:tabs>
        <w:spacing w:before="0" w:after="0"/>
        <w:jc w:val="both"/>
        <w:rPr>
          <w:rFonts w:cs="Times New Roman"/>
          <w:b/>
          <w:bCs/>
          <w:color w:val="000000" w:themeColor="text1"/>
        </w:rPr>
      </w:pPr>
    </w:p>
    <w:p w14:paraId="3CA1F6ED" w14:textId="77777777" w:rsidR="0029566F" w:rsidRDefault="0029566F" w:rsidP="0029566F">
      <w:pPr>
        <w:tabs>
          <w:tab w:val="left" w:pos="2753"/>
        </w:tabs>
        <w:spacing w:before="0" w:after="0"/>
        <w:jc w:val="both"/>
        <w:rPr>
          <w:rFonts w:cs="Times New Roman"/>
          <w:b/>
          <w:bCs/>
          <w:color w:val="000000" w:themeColor="text1"/>
        </w:rPr>
      </w:pPr>
    </w:p>
    <w:p w14:paraId="072D5192" w14:textId="77777777" w:rsidR="0029566F" w:rsidRDefault="0029566F" w:rsidP="0029566F">
      <w:pPr>
        <w:tabs>
          <w:tab w:val="left" w:pos="2753"/>
        </w:tabs>
        <w:spacing w:before="0" w:after="0"/>
        <w:jc w:val="both"/>
        <w:rPr>
          <w:rFonts w:cs="Times New Roman"/>
          <w:b/>
          <w:bCs/>
          <w:color w:val="000000" w:themeColor="text1"/>
        </w:rPr>
      </w:pPr>
    </w:p>
    <w:p w14:paraId="391F0310" w14:textId="77777777" w:rsidR="0029566F" w:rsidRDefault="0029566F" w:rsidP="00DD1138">
      <w:pPr>
        <w:tabs>
          <w:tab w:val="left" w:pos="2753"/>
        </w:tabs>
        <w:spacing w:before="0" w:after="0"/>
        <w:jc w:val="both"/>
        <w:rPr>
          <w:rFonts w:cs="Times New Roman"/>
          <w:b/>
          <w:bCs/>
          <w:color w:val="000000" w:themeColor="text1"/>
        </w:rPr>
      </w:pPr>
    </w:p>
    <w:p w14:paraId="3B87D162" w14:textId="77777777" w:rsidR="00A23686" w:rsidRPr="002436F6" w:rsidRDefault="00A23686" w:rsidP="00DD1138">
      <w:pPr>
        <w:spacing w:before="0" w:after="0"/>
        <w:rPr>
          <w:b/>
          <w:bCs/>
          <w:u w:val="single"/>
        </w:rPr>
      </w:pPr>
      <w:r w:rsidRPr="002436F6">
        <w:rPr>
          <w:b/>
          <w:bCs/>
          <w:u w:val="single"/>
        </w:rPr>
        <w:lastRenderedPageBreak/>
        <w:t>Tables</w:t>
      </w:r>
    </w:p>
    <w:p w14:paraId="7C54CCED" w14:textId="77777777" w:rsidR="00A23686" w:rsidRPr="00A94599" w:rsidRDefault="00A23686" w:rsidP="00DD1138">
      <w:pPr>
        <w:spacing w:before="0" w:after="0"/>
        <w:jc w:val="both"/>
        <w:rPr>
          <w:rFonts w:asciiTheme="majorBidi" w:hAnsiTheme="majorBidi" w:cstheme="majorBidi"/>
          <w:color w:val="000000" w:themeColor="text1"/>
          <w:szCs w:val="24"/>
        </w:rPr>
      </w:pPr>
      <w:r w:rsidRPr="00A94599">
        <w:rPr>
          <w:rFonts w:asciiTheme="majorBidi" w:hAnsiTheme="majorBidi" w:cstheme="majorBidi"/>
          <w:b/>
          <w:bCs/>
          <w:color w:val="000000" w:themeColor="text1"/>
          <w:szCs w:val="24"/>
        </w:rPr>
        <w:t>Table S1.</w:t>
      </w:r>
      <w:r w:rsidRPr="00A94599">
        <w:rPr>
          <w:rFonts w:asciiTheme="majorBidi" w:hAnsiTheme="majorBidi" w:cstheme="majorBidi"/>
          <w:color w:val="000000" w:themeColor="text1"/>
          <w:szCs w:val="24"/>
        </w:rPr>
        <w:t xml:space="preserve"> Intraday accuracy and precision for CBG in mouse whole blood quantified using LC-MS/MS.</w:t>
      </w:r>
    </w:p>
    <w:tbl>
      <w:tblPr>
        <w:tblStyle w:val="GridTable1Light"/>
        <w:tblW w:w="5000" w:type="pct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2247"/>
        <w:gridCol w:w="1346"/>
        <w:gridCol w:w="1119"/>
        <w:gridCol w:w="2138"/>
        <w:gridCol w:w="1738"/>
        <w:gridCol w:w="1189"/>
      </w:tblGrid>
      <w:tr w:rsidR="00A23686" w:rsidRPr="00A94599" w14:paraId="24817968" w14:textId="77777777" w:rsidTr="0070341B">
        <w:trPr>
          <w:trHeight w:val="1180"/>
        </w:trPr>
        <w:tc>
          <w:tcPr>
            <w:tcW w:w="1246" w:type="pct"/>
            <w:tcBorders>
              <w:top w:val="single" w:sz="8" w:space="0" w:color="auto"/>
              <w:bottom w:val="single" w:sz="8" w:space="0" w:color="auto"/>
            </w:tcBorders>
          </w:tcPr>
          <w:p w14:paraId="5C469BCE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A94599">
              <w:rPr>
                <w:rFonts w:asciiTheme="majorBidi" w:hAnsiTheme="majorBidi" w:cstheme="majorBidi"/>
                <w:b/>
                <w:bCs/>
                <w:color w:val="000000"/>
              </w:rPr>
              <w:t>Quality control</w:t>
            </w:r>
          </w:p>
        </w:tc>
        <w:tc>
          <w:tcPr>
            <w:tcW w:w="785" w:type="pct"/>
            <w:tcBorders>
              <w:top w:val="single" w:sz="8" w:space="0" w:color="auto"/>
              <w:bottom w:val="single" w:sz="8" w:space="0" w:color="auto"/>
            </w:tcBorders>
          </w:tcPr>
          <w:p w14:paraId="1BD4037B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A94599">
              <w:rPr>
                <w:rFonts w:asciiTheme="majorBidi" w:hAnsiTheme="majorBidi" w:cstheme="majorBidi"/>
                <w:b/>
                <w:bCs/>
                <w:color w:val="000000"/>
              </w:rPr>
              <w:t>Replicates</w:t>
            </w:r>
          </w:p>
        </w:tc>
        <w:tc>
          <w:tcPr>
            <w:tcW w:w="669" w:type="pct"/>
            <w:tcBorders>
              <w:top w:val="single" w:sz="8" w:space="0" w:color="auto"/>
              <w:bottom w:val="single" w:sz="8" w:space="0" w:color="auto"/>
            </w:tcBorders>
          </w:tcPr>
          <w:p w14:paraId="2F9650C3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A94599">
              <w:rPr>
                <w:rFonts w:asciiTheme="majorBidi" w:hAnsiTheme="majorBidi" w:cstheme="majorBidi"/>
                <w:b/>
                <w:bCs/>
                <w:color w:val="000000"/>
              </w:rPr>
              <w:t>Analysis day (#)</w:t>
            </w:r>
          </w:p>
        </w:tc>
        <w:tc>
          <w:tcPr>
            <w:tcW w:w="1190" w:type="pct"/>
            <w:tcBorders>
              <w:top w:val="single" w:sz="8" w:space="0" w:color="auto"/>
              <w:bottom w:val="single" w:sz="8" w:space="0" w:color="auto"/>
            </w:tcBorders>
          </w:tcPr>
          <w:p w14:paraId="34A522D4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A94599">
              <w:rPr>
                <w:rFonts w:asciiTheme="majorBidi" w:hAnsiTheme="majorBidi" w:cstheme="majorBidi"/>
                <w:b/>
                <w:bCs/>
                <w:color w:val="000000"/>
              </w:rPr>
              <w:t>Observed concentration (mean ± SD; ng/mL)</w:t>
            </w:r>
          </w:p>
        </w:tc>
        <w:tc>
          <w:tcPr>
            <w:tcW w:w="985" w:type="pct"/>
            <w:tcBorders>
              <w:top w:val="single" w:sz="8" w:space="0" w:color="auto"/>
              <w:bottom w:val="single" w:sz="8" w:space="0" w:color="auto"/>
            </w:tcBorders>
          </w:tcPr>
          <w:p w14:paraId="3E35FEA0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A94599">
              <w:rPr>
                <w:rFonts w:asciiTheme="majorBidi" w:hAnsiTheme="majorBidi" w:cstheme="majorBidi"/>
                <w:b/>
                <w:bCs/>
                <w:color w:val="000000"/>
              </w:rPr>
              <w:t>Precision (CV%)</w:t>
            </w:r>
          </w:p>
        </w:tc>
        <w:tc>
          <w:tcPr>
            <w:tcW w:w="126" w:type="pct"/>
            <w:tcBorders>
              <w:top w:val="single" w:sz="8" w:space="0" w:color="auto"/>
              <w:bottom w:val="single" w:sz="8" w:space="0" w:color="auto"/>
            </w:tcBorders>
          </w:tcPr>
          <w:p w14:paraId="38761146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A94599">
              <w:rPr>
                <w:rFonts w:asciiTheme="majorBidi" w:hAnsiTheme="majorBidi" w:cstheme="majorBidi"/>
                <w:b/>
                <w:bCs/>
                <w:color w:val="000000"/>
              </w:rPr>
              <w:t>Accuracy (%)</w:t>
            </w:r>
          </w:p>
        </w:tc>
      </w:tr>
      <w:tr w:rsidR="00A23686" w:rsidRPr="00A94599" w14:paraId="7C034015" w14:textId="77777777" w:rsidTr="0070341B">
        <w:trPr>
          <w:trHeight w:val="320"/>
        </w:trPr>
        <w:tc>
          <w:tcPr>
            <w:tcW w:w="1246" w:type="pct"/>
            <w:tcBorders>
              <w:top w:val="single" w:sz="8" w:space="0" w:color="auto"/>
            </w:tcBorders>
          </w:tcPr>
          <w:p w14:paraId="161B4F7E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A94599">
              <w:rPr>
                <w:rFonts w:asciiTheme="majorBidi" w:hAnsiTheme="majorBidi" w:cstheme="majorBidi"/>
                <w:b/>
                <w:bCs/>
                <w:color w:val="000000"/>
              </w:rPr>
              <w:t xml:space="preserve">LLOQ </w:t>
            </w:r>
          </w:p>
        </w:tc>
        <w:tc>
          <w:tcPr>
            <w:tcW w:w="785" w:type="pct"/>
            <w:tcBorders>
              <w:top w:val="single" w:sz="8" w:space="0" w:color="auto"/>
            </w:tcBorders>
          </w:tcPr>
          <w:p w14:paraId="30C55DE8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6</w:t>
            </w:r>
          </w:p>
        </w:tc>
        <w:tc>
          <w:tcPr>
            <w:tcW w:w="669" w:type="pct"/>
            <w:tcBorders>
              <w:top w:val="single" w:sz="8" w:space="0" w:color="auto"/>
            </w:tcBorders>
          </w:tcPr>
          <w:p w14:paraId="1EB04B8D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1</w:t>
            </w:r>
          </w:p>
        </w:tc>
        <w:tc>
          <w:tcPr>
            <w:tcW w:w="1190" w:type="pct"/>
            <w:tcBorders>
              <w:top w:val="single" w:sz="8" w:space="0" w:color="auto"/>
            </w:tcBorders>
          </w:tcPr>
          <w:p w14:paraId="6C4F1186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8.5 ± 0.51</w:t>
            </w:r>
          </w:p>
        </w:tc>
        <w:tc>
          <w:tcPr>
            <w:tcW w:w="985" w:type="pct"/>
            <w:tcBorders>
              <w:top w:val="single" w:sz="8" w:space="0" w:color="auto"/>
            </w:tcBorders>
          </w:tcPr>
          <w:p w14:paraId="30602F73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5.8</w:t>
            </w:r>
          </w:p>
        </w:tc>
        <w:tc>
          <w:tcPr>
            <w:tcW w:w="126" w:type="pct"/>
            <w:tcBorders>
              <w:top w:val="single" w:sz="8" w:space="0" w:color="auto"/>
            </w:tcBorders>
          </w:tcPr>
          <w:p w14:paraId="75092CA9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109.3</w:t>
            </w:r>
          </w:p>
        </w:tc>
      </w:tr>
      <w:tr w:rsidR="00A23686" w:rsidRPr="00A94599" w14:paraId="5E45C5AB" w14:textId="77777777" w:rsidTr="0070341B">
        <w:trPr>
          <w:trHeight w:val="300"/>
        </w:trPr>
        <w:tc>
          <w:tcPr>
            <w:tcW w:w="1246" w:type="pct"/>
          </w:tcPr>
          <w:p w14:paraId="23BE6D07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b/>
                <w:bCs/>
                <w:color w:val="000000"/>
              </w:rPr>
            </w:pPr>
          </w:p>
        </w:tc>
        <w:tc>
          <w:tcPr>
            <w:tcW w:w="785" w:type="pct"/>
          </w:tcPr>
          <w:p w14:paraId="5B6961B6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6</w:t>
            </w:r>
          </w:p>
        </w:tc>
        <w:tc>
          <w:tcPr>
            <w:tcW w:w="669" w:type="pct"/>
          </w:tcPr>
          <w:p w14:paraId="74D6577C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2</w:t>
            </w:r>
          </w:p>
        </w:tc>
        <w:tc>
          <w:tcPr>
            <w:tcW w:w="1190" w:type="pct"/>
          </w:tcPr>
          <w:p w14:paraId="5DE71E1D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8.6 ± 0.37</w:t>
            </w:r>
          </w:p>
        </w:tc>
        <w:tc>
          <w:tcPr>
            <w:tcW w:w="985" w:type="pct"/>
          </w:tcPr>
          <w:p w14:paraId="067B384C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4.3</w:t>
            </w:r>
          </w:p>
        </w:tc>
        <w:tc>
          <w:tcPr>
            <w:tcW w:w="126" w:type="pct"/>
          </w:tcPr>
          <w:p w14:paraId="402B7574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107.8</w:t>
            </w:r>
          </w:p>
        </w:tc>
      </w:tr>
      <w:tr w:rsidR="00A23686" w:rsidRPr="00A94599" w14:paraId="4E947E13" w14:textId="77777777" w:rsidTr="0070341B">
        <w:trPr>
          <w:trHeight w:val="300"/>
        </w:trPr>
        <w:tc>
          <w:tcPr>
            <w:tcW w:w="1246" w:type="pct"/>
          </w:tcPr>
          <w:p w14:paraId="35BD2BDB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b/>
                <w:bCs/>
                <w:color w:val="000000"/>
              </w:rPr>
            </w:pPr>
          </w:p>
        </w:tc>
        <w:tc>
          <w:tcPr>
            <w:tcW w:w="785" w:type="pct"/>
          </w:tcPr>
          <w:p w14:paraId="35483844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6</w:t>
            </w:r>
          </w:p>
        </w:tc>
        <w:tc>
          <w:tcPr>
            <w:tcW w:w="669" w:type="pct"/>
          </w:tcPr>
          <w:p w14:paraId="2EA35C06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3</w:t>
            </w:r>
          </w:p>
        </w:tc>
        <w:tc>
          <w:tcPr>
            <w:tcW w:w="1190" w:type="pct"/>
          </w:tcPr>
          <w:p w14:paraId="4C0E2B6B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8.5 ± 0.35</w:t>
            </w:r>
          </w:p>
        </w:tc>
        <w:tc>
          <w:tcPr>
            <w:tcW w:w="985" w:type="pct"/>
          </w:tcPr>
          <w:p w14:paraId="56A48E86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4.5</w:t>
            </w:r>
          </w:p>
        </w:tc>
        <w:tc>
          <w:tcPr>
            <w:tcW w:w="126" w:type="pct"/>
          </w:tcPr>
          <w:p w14:paraId="01FC7EAE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106.1</w:t>
            </w:r>
          </w:p>
        </w:tc>
      </w:tr>
      <w:tr w:rsidR="00A23686" w:rsidRPr="00A94599" w14:paraId="513B8C1D" w14:textId="77777777" w:rsidTr="0070341B">
        <w:trPr>
          <w:trHeight w:val="300"/>
        </w:trPr>
        <w:tc>
          <w:tcPr>
            <w:tcW w:w="1246" w:type="pct"/>
            <w:shd w:val="clear" w:color="auto" w:fill="F2F2F2" w:themeFill="background1" w:themeFillShade="F2"/>
          </w:tcPr>
          <w:p w14:paraId="31B586D5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A94599">
              <w:rPr>
                <w:rFonts w:asciiTheme="majorBidi" w:hAnsiTheme="majorBidi" w:cstheme="majorBidi"/>
                <w:b/>
                <w:bCs/>
                <w:color w:val="000000"/>
              </w:rPr>
              <w:t xml:space="preserve">LQC </w:t>
            </w:r>
          </w:p>
        </w:tc>
        <w:tc>
          <w:tcPr>
            <w:tcW w:w="785" w:type="pct"/>
            <w:shd w:val="clear" w:color="auto" w:fill="F2F2F2" w:themeFill="background1" w:themeFillShade="F2"/>
          </w:tcPr>
          <w:p w14:paraId="1C026163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6</w:t>
            </w:r>
          </w:p>
        </w:tc>
        <w:tc>
          <w:tcPr>
            <w:tcW w:w="669" w:type="pct"/>
            <w:shd w:val="clear" w:color="auto" w:fill="F2F2F2" w:themeFill="background1" w:themeFillShade="F2"/>
          </w:tcPr>
          <w:p w14:paraId="225EDBCC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1</w:t>
            </w:r>
          </w:p>
        </w:tc>
        <w:tc>
          <w:tcPr>
            <w:tcW w:w="1190" w:type="pct"/>
            <w:shd w:val="clear" w:color="auto" w:fill="F2F2F2" w:themeFill="background1" w:themeFillShade="F2"/>
          </w:tcPr>
          <w:p w14:paraId="2C22E9DE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24.6 ± 1.48</w:t>
            </w:r>
          </w:p>
        </w:tc>
        <w:tc>
          <w:tcPr>
            <w:tcW w:w="985" w:type="pct"/>
            <w:shd w:val="clear" w:color="auto" w:fill="F2F2F2" w:themeFill="background1" w:themeFillShade="F2"/>
          </w:tcPr>
          <w:p w14:paraId="5272AB6F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6.0</w:t>
            </w:r>
          </w:p>
        </w:tc>
        <w:tc>
          <w:tcPr>
            <w:tcW w:w="126" w:type="pct"/>
            <w:shd w:val="clear" w:color="auto" w:fill="F2F2F2" w:themeFill="background1" w:themeFillShade="F2"/>
          </w:tcPr>
          <w:p w14:paraId="1427AD99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102.7</w:t>
            </w:r>
          </w:p>
        </w:tc>
      </w:tr>
      <w:tr w:rsidR="00A23686" w:rsidRPr="00A94599" w14:paraId="03FF4AD9" w14:textId="77777777" w:rsidTr="0070341B">
        <w:trPr>
          <w:trHeight w:val="300"/>
        </w:trPr>
        <w:tc>
          <w:tcPr>
            <w:tcW w:w="1246" w:type="pct"/>
            <w:shd w:val="clear" w:color="auto" w:fill="F2F2F2" w:themeFill="background1" w:themeFillShade="F2"/>
          </w:tcPr>
          <w:p w14:paraId="747B23F3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b/>
                <w:bCs/>
                <w:color w:val="000000"/>
              </w:rPr>
            </w:pPr>
          </w:p>
        </w:tc>
        <w:tc>
          <w:tcPr>
            <w:tcW w:w="785" w:type="pct"/>
            <w:shd w:val="clear" w:color="auto" w:fill="F2F2F2" w:themeFill="background1" w:themeFillShade="F2"/>
          </w:tcPr>
          <w:p w14:paraId="331F254D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6</w:t>
            </w:r>
          </w:p>
        </w:tc>
        <w:tc>
          <w:tcPr>
            <w:tcW w:w="669" w:type="pct"/>
            <w:shd w:val="clear" w:color="auto" w:fill="F2F2F2" w:themeFill="background1" w:themeFillShade="F2"/>
          </w:tcPr>
          <w:p w14:paraId="4CE6D6E9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2</w:t>
            </w:r>
          </w:p>
        </w:tc>
        <w:tc>
          <w:tcPr>
            <w:tcW w:w="1190" w:type="pct"/>
            <w:shd w:val="clear" w:color="auto" w:fill="F2F2F2" w:themeFill="background1" w:themeFillShade="F2"/>
          </w:tcPr>
          <w:p w14:paraId="4ECF7D9D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25.5 ± 0.74</w:t>
            </w:r>
          </w:p>
        </w:tc>
        <w:tc>
          <w:tcPr>
            <w:tcW w:w="985" w:type="pct"/>
            <w:shd w:val="clear" w:color="auto" w:fill="F2F2F2" w:themeFill="background1" w:themeFillShade="F2"/>
          </w:tcPr>
          <w:p w14:paraId="0912C921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3.0</w:t>
            </w:r>
          </w:p>
        </w:tc>
        <w:tc>
          <w:tcPr>
            <w:tcW w:w="126" w:type="pct"/>
            <w:shd w:val="clear" w:color="auto" w:fill="F2F2F2" w:themeFill="background1" w:themeFillShade="F2"/>
          </w:tcPr>
          <w:p w14:paraId="30BAA957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106.2</w:t>
            </w:r>
          </w:p>
        </w:tc>
      </w:tr>
      <w:tr w:rsidR="00A23686" w:rsidRPr="00A94599" w14:paraId="40E80AF0" w14:textId="77777777" w:rsidTr="0070341B">
        <w:trPr>
          <w:trHeight w:val="320"/>
        </w:trPr>
        <w:tc>
          <w:tcPr>
            <w:tcW w:w="1246" w:type="pct"/>
            <w:shd w:val="clear" w:color="auto" w:fill="F2F2F2" w:themeFill="background1" w:themeFillShade="F2"/>
          </w:tcPr>
          <w:p w14:paraId="73E70AF2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b/>
                <w:bCs/>
                <w:color w:val="000000"/>
              </w:rPr>
            </w:pPr>
          </w:p>
        </w:tc>
        <w:tc>
          <w:tcPr>
            <w:tcW w:w="785" w:type="pct"/>
            <w:shd w:val="clear" w:color="auto" w:fill="F2F2F2" w:themeFill="background1" w:themeFillShade="F2"/>
          </w:tcPr>
          <w:p w14:paraId="019BD4E3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6</w:t>
            </w:r>
          </w:p>
        </w:tc>
        <w:tc>
          <w:tcPr>
            <w:tcW w:w="669" w:type="pct"/>
            <w:shd w:val="clear" w:color="auto" w:fill="F2F2F2" w:themeFill="background1" w:themeFillShade="F2"/>
          </w:tcPr>
          <w:p w14:paraId="5242BC64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3</w:t>
            </w:r>
          </w:p>
        </w:tc>
        <w:tc>
          <w:tcPr>
            <w:tcW w:w="1190" w:type="pct"/>
            <w:shd w:val="clear" w:color="auto" w:fill="F2F2F2" w:themeFill="background1" w:themeFillShade="F2"/>
          </w:tcPr>
          <w:p w14:paraId="65421D72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25.8 ± 1.27</w:t>
            </w:r>
          </w:p>
        </w:tc>
        <w:tc>
          <w:tcPr>
            <w:tcW w:w="985" w:type="pct"/>
            <w:shd w:val="clear" w:color="auto" w:fill="F2F2F2" w:themeFill="background1" w:themeFillShade="F2"/>
          </w:tcPr>
          <w:p w14:paraId="347090E8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4.9</w:t>
            </w:r>
          </w:p>
        </w:tc>
        <w:tc>
          <w:tcPr>
            <w:tcW w:w="126" w:type="pct"/>
            <w:shd w:val="clear" w:color="auto" w:fill="F2F2F2" w:themeFill="background1" w:themeFillShade="F2"/>
          </w:tcPr>
          <w:p w14:paraId="5D73DCBC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107.7</w:t>
            </w:r>
          </w:p>
        </w:tc>
      </w:tr>
      <w:tr w:rsidR="00A23686" w:rsidRPr="00A94599" w14:paraId="7DC0BD06" w14:textId="77777777" w:rsidTr="0070341B">
        <w:trPr>
          <w:trHeight w:val="320"/>
        </w:trPr>
        <w:tc>
          <w:tcPr>
            <w:tcW w:w="1246" w:type="pct"/>
          </w:tcPr>
          <w:p w14:paraId="20F86F95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A94599">
              <w:rPr>
                <w:rFonts w:asciiTheme="majorBidi" w:hAnsiTheme="majorBidi" w:cstheme="majorBidi"/>
                <w:b/>
                <w:bCs/>
                <w:color w:val="000000"/>
              </w:rPr>
              <w:t xml:space="preserve">MQC </w:t>
            </w:r>
          </w:p>
        </w:tc>
        <w:tc>
          <w:tcPr>
            <w:tcW w:w="785" w:type="pct"/>
          </w:tcPr>
          <w:p w14:paraId="75DD6B29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6</w:t>
            </w:r>
          </w:p>
        </w:tc>
        <w:tc>
          <w:tcPr>
            <w:tcW w:w="669" w:type="pct"/>
          </w:tcPr>
          <w:p w14:paraId="4A650166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1</w:t>
            </w:r>
          </w:p>
        </w:tc>
        <w:tc>
          <w:tcPr>
            <w:tcW w:w="1190" w:type="pct"/>
          </w:tcPr>
          <w:p w14:paraId="1FF3897D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195.7 ± 10.80</w:t>
            </w:r>
          </w:p>
        </w:tc>
        <w:tc>
          <w:tcPr>
            <w:tcW w:w="985" w:type="pct"/>
          </w:tcPr>
          <w:p w14:paraId="5CEE354F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5.5</w:t>
            </w:r>
          </w:p>
        </w:tc>
        <w:tc>
          <w:tcPr>
            <w:tcW w:w="126" w:type="pct"/>
          </w:tcPr>
          <w:p w14:paraId="397FFAAE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97.9</w:t>
            </w:r>
          </w:p>
        </w:tc>
      </w:tr>
      <w:tr w:rsidR="00A23686" w:rsidRPr="00A94599" w14:paraId="1EF3E275" w14:textId="77777777" w:rsidTr="0070341B">
        <w:trPr>
          <w:trHeight w:val="300"/>
        </w:trPr>
        <w:tc>
          <w:tcPr>
            <w:tcW w:w="1246" w:type="pct"/>
          </w:tcPr>
          <w:p w14:paraId="66208AE2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b/>
                <w:bCs/>
                <w:color w:val="000000"/>
              </w:rPr>
            </w:pPr>
          </w:p>
        </w:tc>
        <w:tc>
          <w:tcPr>
            <w:tcW w:w="785" w:type="pct"/>
          </w:tcPr>
          <w:p w14:paraId="097CFC1D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6</w:t>
            </w:r>
          </w:p>
        </w:tc>
        <w:tc>
          <w:tcPr>
            <w:tcW w:w="669" w:type="pct"/>
          </w:tcPr>
          <w:p w14:paraId="1AE08941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2</w:t>
            </w:r>
          </w:p>
        </w:tc>
        <w:tc>
          <w:tcPr>
            <w:tcW w:w="1190" w:type="pct"/>
          </w:tcPr>
          <w:p w14:paraId="32FE363D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204.7 ± 9.27</w:t>
            </w:r>
          </w:p>
        </w:tc>
        <w:tc>
          <w:tcPr>
            <w:tcW w:w="985" w:type="pct"/>
          </w:tcPr>
          <w:p w14:paraId="5D73A1C4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4.5</w:t>
            </w:r>
          </w:p>
        </w:tc>
        <w:tc>
          <w:tcPr>
            <w:tcW w:w="126" w:type="pct"/>
          </w:tcPr>
          <w:p w14:paraId="3811D3B7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102.4</w:t>
            </w:r>
          </w:p>
        </w:tc>
      </w:tr>
      <w:tr w:rsidR="00A23686" w:rsidRPr="00A94599" w14:paraId="749A517B" w14:textId="77777777" w:rsidTr="0070341B">
        <w:trPr>
          <w:trHeight w:val="300"/>
        </w:trPr>
        <w:tc>
          <w:tcPr>
            <w:tcW w:w="1246" w:type="pct"/>
          </w:tcPr>
          <w:p w14:paraId="0D436737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b/>
                <w:bCs/>
                <w:color w:val="000000"/>
              </w:rPr>
            </w:pPr>
          </w:p>
        </w:tc>
        <w:tc>
          <w:tcPr>
            <w:tcW w:w="785" w:type="pct"/>
          </w:tcPr>
          <w:p w14:paraId="6DDB721C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6</w:t>
            </w:r>
          </w:p>
        </w:tc>
        <w:tc>
          <w:tcPr>
            <w:tcW w:w="669" w:type="pct"/>
          </w:tcPr>
          <w:p w14:paraId="16B580CE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3</w:t>
            </w:r>
          </w:p>
        </w:tc>
        <w:tc>
          <w:tcPr>
            <w:tcW w:w="1190" w:type="pct"/>
          </w:tcPr>
          <w:p w14:paraId="4C1B1037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203.7 ± 4.97</w:t>
            </w:r>
          </w:p>
        </w:tc>
        <w:tc>
          <w:tcPr>
            <w:tcW w:w="985" w:type="pct"/>
          </w:tcPr>
          <w:p w14:paraId="4549DC5B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2.4</w:t>
            </w:r>
          </w:p>
        </w:tc>
        <w:tc>
          <w:tcPr>
            <w:tcW w:w="126" w:type="pct"/>
          </w:tcPr>
          <w:p w14:paraId="3D9768C0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101.7</w:t>
            </w:r>
          </w:p>
        </w:tc>
      </w:tr>
      <w:tr w:rsidR="00A23686" w:rsidRPr="00A94599" w14:paraId="54684462" w14:textId="77777777" w:rsidTr="0070341B">
        <w:trPr>
          <w:trHeight w:val="300"/>
        </w:trPr>
        <w:tc>
          <w:tcPr>
            <w:tcW w:w="1246" w:type="pct"/>
            <w:shd w:val="clear" w:color="auto" w:fill="F2F2F2" w:themeFill="background1" w:themeFillShade="F2"/>
          </w:tcPr>
          <w:p w14:paraId="5F34E3AD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A94599">
              <w:rPr>
                <w:rFonts w:asciiTheme="majorBidi" w:hAnsiTheme="majorBidi" w:cstheme="majorBidi"/>
                <w:b/>
                <w:bCs/>
                <w:color w:val="000000"/>
              </w:rPr>
              <w:t xml:space="preserve">HQC </w:t>
            </w:r>
          </w:p>
        </w:tc>
        <w:tc>
          <w:tcPr>
            <w:tcW w:w="785" w:type="pct"/>
            <w:shd w:val="clear" w:color="auto" w:fill="F2F2F2" w:themeFill="background1" w:themeFillShade="F2"/>
          </w:tcPr>
          <w:p w14:paraId="0B0F57C4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6</w:t>
            </w:r>
          </w:p>
        </w:tc>
        <w:tc>
          <w:tcPr>
            <w:tcW w:w="669" w:type="pct"/>
            <w:shd w:val="clear" w:color="auto" w:fill="F2F2F2" w:themeFill="background1" w:themeFillShade="F2"/>
          </w:tcPr>
          <w:p w14:paraId="66A6AD9A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1</w:t>
            </w:r>
          </w:p>
        </w:tc>
        <w:tc>
          <w:tcPr>
            <w:tcW w:w="1190" w:type="pct"/>
            <w:shd w:val="clear" w:color="auto" w:fill="F2F2F2" w:themeFill="background1" w:themeFillShade="F2"/>
          </w:tcPr>
          <w:p w14:paraId="235EDE04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302.5 ± 17.48</w:t>
            </w:r>
          </w:p>
        </w:tc>
        <w:tc>
          <w:tcPr>
            <w:tcW w:w="985" w:type="pct"/>
            <w:shd w:val="clear" w:color="auto" w:fill="F2F2F2" w:themeFill="background1" w:themeFillShade="F2"/>
          </w:tcPr>
          <w:p w14:paraId="0977F69B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7.8</w:t>
            </w:r>
          </w:p>
        </w:tc>
        <w:tc>
          <w:tcPr>
            <w:tcW w:w="126" w:type="pct"/>
            <w:shd w:val="clear" w:color="auto" w:fill="F2F2F2" w:themeFill="background1" w:themeFillShade="F2"/>
          </w:tcPr>
          <w:p w14:paraId="5A3C3FCB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109.8</w:t>
            </w:r>
          </w:p>
        </w:tc>
      </w:tr>
      <w:tr w:rsidR="00A23686" w:rsidRPr="00A94599" w14:paraId="03BC460E" w14:textId="77777777" w:rsidTr="0070341B">
        <w:trPr>
          <w:trHeight w:val="300"/>
        </w:trPr>
        <w:tc>
          <w:tcPr>
            <w:tcW w:w="1246" w:type="pct"/>
            <w:shd w:val="clear" w:color="auto" w:fill="F2F2F2" w:themeFill="background1" w:themeFillShade="F2"/>
          </w:tcPr>
          <w:p w14:paraId="3F14442F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b/>
                <w:bCs/>
                <w:color w:val="000000"/>
              </w:rPr>
            </w:pPr>
          </w:p>
        </w:tc>
        <w:tc>
          <w:tcPr>
            <w:tcW w:w="785" w:type="pct"/>
            <w:shd w:val="clear" w:color="auto" w:fill="F2F2F2" w:themeFill="background1" w:themeFillShade="F2"/>
          </w:tcPr>
          <w:p w14:paraId="07889E16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5</w:t>
            </w:r>
          </w:p>
        </w:tc>
        <w:tc>
          <w:tcPr>
            <w:tcW w:w="669" w:type="pct"/>
            <w:shd w:val="clear" w:color="auto" w:fill="F2F2F2" w:themeFill="background1" w:themeFillShade="F2"/>
          </w:tcPr>
          <w:p w14:paraId="1F2571C2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2</w:t>
            </w:r>
          </w:p>
        </w:tc>
        <w:tc>
          <w:tcPr>
            <w:tcW w:w="1190" w:type="pct"/>
            <w:shd w:val="clear" w:color="auto" w:fill="F2F2F2" w:themeFill="background1" w:themeFillShade="F2"/>
          </w:tcPr>
          <w:p w14:paraId="7A89E90E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291.8 ± 15.32</w:t>
            </w:r>
          </w:p>
        </w:tc>
        <w:tc>
          <w:tcPr>
            <w:tcW w:w="985" w:type="pct"/>
            <w:shd w:val="clear" w:color="auto" w:fill="F2F2F2" w:themeFill="background1" w:themeFillShade="F2"/>
          </w:tcPr>
          <w:p w14:paraId="17BEA62A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5.2</w:t>
            </w:r>
          </w:p>
        </w:tc>
        <w:tc>
          <w:tcPr>
            <w:tcW w:w="126" w:type="pct"/>
            <w:shd w:val="clear" w:color="auto" w:fill="F2F2F2" w:themeFill="background1" w:themeFillShade="F2"/>
          </w:tcPr>
          <w:p w14:paraId="07F95847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110.8</w:t>
            </w:r>
          </w:p>
        </w:tc>
      </w:tr>
      <w:tr w:rsidR="00A23686" w:rsidRPr="00A94599" w14:paraId="67435BD2" w14:textId="77777777" w:rsidTr="0070341B">
        <w:trPr>
          <w:trHeight w:val="320"/>
        </w:trPr>
        <w:tc>
          <w:tcPr>
            <w:tcW w:w="1246" w:type="pct"/>
            <w:shd w:val="clear" w:color="auto" w:fill="F2F2F2" w:themeFill="background1" w:themeFillShade="F2"/>
          </w:tcPr>
          <w:p w14:paraId="68D84BA5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785" w:type="pct"/>
            <w:shd w:val="clear" w:color="auto" w:fill="F2F2F2" w:themeFill="background1" w:themeFillShade="F2"/>
          </w:tcPr>
          <w:p w14:paraId="4CDADA7F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5</w:t>
            </w:r>
          </w:p>
        </w:tc>
        <w:tc>
          <w:tcPr>
            <w:tcW w:w="669" w:type="pct"/>
            <w:shd w:val="clear" w:color="auto" w:fill="F2F2F2" w:themeFill="background1" w:themeFillShade="F2"/>
          </w:tcPr>
          <w:p w14:paraId="02FD2703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3</w:t>
            </w:r>
          </w:p>
        </w:tc>
        <w:tc>
          <w:tcPr>
            <w:tcW w:w="1190" w:type="pct"/>
            <w:shd w:val="clear" w:color="auto" w:fill="F2F2F2" w:themeFill="background1" w:themeFillShade="F2"/>
          </w:tcPr>
          <w:p w14:paraId="44CE4EA5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309.7 ± 9.0</w:t>
            </w:r>
          </w:p>
        </w:tc>
        <w:tc>
          <w:tcPr>
            <w:tcW w:w="985" w:type="pct"/>
            <w:shd w:val="clear" w:color="auto" w:fill="F2F2F2" w:themeFill="background1" w:themeFillShade="F2"/>
          </w:tcPr>
          <w:p w14:paraId="39ABDE65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2.9</w:t>
            </w:r>
          </w:p>
        </w:tc>
        <w:tc>
          <w:tcPr>
            <w:tcW w:w="126" w:type="pct"/>
            <w:shd w:val="clear" w:color="auto" w:fill="F2F2F2" w:themeFill="background1" w:themeFillShade="F2"/>
          </w:tcPr>
          <w:p w14:paraId="117F99FE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112.5</w:t>
            </w:r>
          </w:p>
        </w:tc>
      </w:tr>
    </w:tbl>
    <w:p w14:paraId="1E266A1F" w14:textId="77777777" w:rsidR="00A23686" w:rsidRPr="00A94599" w:rsidRDefault="00A23686" w:rsidP="00DD1138">
      <w:pPr>
        <w:autoSpaceDE w:val="0"/>
        <w:autoSpaceDN w:val="0"/>
        <w:adjustRightInd w:val="0"/>
        <w:spacing w:before="0" w:after="0"/>
        <w:jc w:val="both"/>
        <w:rPr>
          <w:rFonts w:asciiTheme="majorBidi" w:hAnsiTheme="majorBidi" w:cstheme="majorBidi"/>
          <w:color w:val="000000" w:themeColor="text1"/>
          <w:szCs w:val="24"/>
        </w:rPr>
      </w:pPr>
      <w:r w:rsidRPr="00A94599">
        <w:rPr>
          <w:rFonts w:asciiTheme="majorBidi" w:hAnsiTheme="majorBidi" w:cstheme="majorBidi"/>
          <w:color w:val="000000" w:themeColor="text1"/>
          <w:szCs w:val="24"/>
        </w:rPr>
        <w:t>LLQC, lowest limit of quantification (8 ng/mL); LQC, low quality control (24 ng/mL); MQC, medium quality control (200 ng/mL); HQC, high quality control (275 ng/mL).</w:t>
      </w:r>
    </w:p>
    <w:p w14:paraId="42C1F124" w14:textId="77777777" w:rsidR="00A23686" w:rsidRDefault="00A23686" w:rsidP="00DD1138">
      <w:pPr>
        <w:spacing w:before="0" w:after="0"/>
        <w:jc w:val="both"/>
        <w:rPr>
          <w:rFonts w:asciiTheme="majorBidi" w:hAnsiTheme="majorBidi" w:cstheme="majorBidi"/>
          <w:color w:val="000000" w:themeColor="text1"/>
          <w:szCs w:val="24"/>
        </w:rPr>
      </w:pPr>
    </w:p>
    <w:p w14:paraId="16C2D5EC" w14:textId="77777777" w:rsidR="00A23686" w:rsidRDefault="00A23686" w:rsidP="00DD1138">
      <w:pPr>
        <w:spacing w:before="0" w:after="0"/>
        <w:jc w:val="both"/>
        <w:rPr>
          <w:rFonts w:asciiTheme="majorBidi" w:hAnsiTheme="majorBidi" w:cstheme="majorBidi"/>
          <w:color w:val="000000" w:themeColor="text1"/>
          <w:szCs w:val="24"/>
        </w:rPr>
      </w:pPr>
    </w:p>
    <w:p w14:paraId="2B18BA1E" w14:textId="77777777" w:rsidR="001F33F6" w:rsidRPr="00A94599" w:rsidRDefault="001F33F6" w:rsidP="00DD1138">
      <w:pPr>
        <w:spacing w:before="0" w:after="0"/>
        <w:jc w:val="both"/>
        <w:rPr>
          <w:rFonts w:asciiTheme="majorBidi" w:hAnsiTheme="majorBidi" w:cstheme="majorBidi"/>
          <w:color w:val="000000" w:themeColor="text1"/>
          <w:szCs w:val="24"/>
        </w:rPr>
      </w:pPr>
    </w:p>
    <w:p w14:paraId="4B957954" w14:textId="77777777" w:rsidR="00A23686" w:rsidRPr="00A94599" w:rsidRDefault="00A23686" w:rsidP="00DD1138">
      <w:pPr>
        <w:spacing w:before="0" w:after="0"/>
        <w:jc w:val="both"/>
        <w:rPr>
          <w:rFonts w:asciiTheme="majorBidi" w:hAnsiTheme="majorBidi" w:cstheme="majorBidi"/>
          <w:color w:val="000000" w:themeColor="text1"/>
          <w:szCs w:val="24"/>
        </w:rPr>
      </w:pPr>
      <w:r w:rsidRPr="00A94599">
        <w:rPr>
          <w:rFonts w:asciiTheme="majorBidi" w:hAnsiTheme="majorBidi" w:cstheme="majorBidi"/>
          <w:b/>
          <w:bCs/>
          <w:color w:val="000000" w:themeColor="text1"/>
          <w:szCs w:val="24"/>
        </w:rPr>
        <w:t>Table S2.</w:t>
      </w:r>
      <w:r w:rsidRPr="00A94599">
        <w:rPr>
          <w:rFonts w:asciiTheme="majorBidi" w:hAnsiTheme="majorBidi" w:cstheme="majorBidi"/>
          <w:color w:val="000000" w:themeColor="text1"/>
          <w:szCs w:val="24"/>
        </w:rPr>
        <w:t xml:space="preserve"> </w:t>
      </w:r>
      <w:proofErr w:type="spellStart"/>
      <w:r w:rsidRPr="00A94599">
        <w:rPr>
          <w:rFonts w:asciiTheme="majorBidi" w:hAnsiTheme="majorBidi" w:cstheme="majorBidi"/>
          <w:color w:val="000000" w:themeColor="text1"/>
          <w:szCs w:val="24"/>
        </w:rPr>
        <w:t>Interday</w:t>
      </w:r>
      <w:proofErr w:type="spellEnd"/>
      <w:r w:rsidRPr="00A94599">
        <w:rPr>
          <w:rFonts w:asciiTheme="majorBidi" w:hAnsiTheme="majorBidi" w:cstheme="majorBidi"/>
          <w:color w:val="000000" w:themeColor="text1"/>
          <w:szCs w:val="24"/>
        </w:rPr>
        <w:t xml:space="preserve"> accuracy and precision for CBG in mouse whole blood quantified using LC-MS/MS.</w:t>
      </w:r>
    </w:p>
    <w:tbl>
      <w:tblPr>
        <w:tblStyle w:val="GridTable1Light"/>
        <w:tblW w:w="5000" w:type="pct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990"/>
        <w:gridCol w:w="2238"/>
        <w:gridCol w:w="4201"/>
        <w:gridCol w:w="1159"/>
        <w:gridCol w:w="1189"/>
      </w:tblGrid>
      <w:tr w:rsidR="00A23686" w:rsidRPr="00A94599" w14:paraId="04FE1DF0" w14:textId="77777777" w:rsidTr="0070341B">
        <w:trPr>
          <w:trHeight w:val="1180"/>
        </w:trPr>
        <w:tc>
          <w:tcPr>
            <w:tcW w:w="0" w:type="pct"/>
            <w:tcBorders>
              <w:top w:val="single" w:sz="8" w:space="0" w:color="auto"/>
              <w:bottom w:val="single" w:sz="8" w:space="0" w:color="auto"/>
            </w:tcBorders>
          </w:tcPr>
          <w:p w14:paraId="405C6701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A94599">
              <w:rPr>
                <w:rFonts w:asciiTheme="majorBidi" w:hAnsiTheme="majorBidi" w:cstheme="majorBidi"/>
                <w:b/>
                <w:bCs/>
                <w:color w:val="000000"/>
              </w:rPr>
              <w:t>Quality control</w:t>
            </w:r>
          </w:p>
        </w:tc>
        <w:tc>
          <w:tcPr>
            <w:tcW w:w="725" w:type="pct"/>
            <w:tcBorders>
              <w:top w:val="single" w:sz="8" w:space="0" w:color="auto"/>
              <w:bottom w:val="single" w:sz="8" w:space="0" w:color="auto"/>
            </w:tcBorders>
          </w:tcPr>
          <w:p w14:paraId="33E862E3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A94599">
              <w:rPr>
                <w:rFonts w:asciiTheme="majorBidi" w:hAnsiTheme="majorBidi" w:cstheme="majorBidi"/>
                <w:b/>
                <w:bCs/>
                <w:color w:val="000000"/>
              </w:rPr>
              <w:t>Replicates</w:t>
            </w:r>
          </w:p>
        </w:tc>
        <w:tc>
          <w:tcPr>
            <w:tcW w:w="1089" w:type="pct"/>
            <w:tcBorders>
              <w:top w:val="single" w:sz="8" w:space="0" w:color="auto"/>
              <w:bottom w:val="single" w:sz="8" w:space="0" w:color="auto"/>
            </w:tcBorders>
          </w:tcPr>
          <w:p w14:paraId="752669EA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A94599">
              <w:rPr>
                <w:rFonts w:asciiTheme="majorBidi" w:hAnsiTheme="majorBidi" w:cstheme="majorBidi"/>
                <w:b/>
                <w:bCs/>
                <w:color w:val="000000"/>
              </w:rPr>
              <w:t>Observed concentration (mean ± SD; ng/mL)</w:t>
            </w:r>
          </w:p>
        </w:tc>
        <w:tc>
          <w:tcPr>
            <w:tcW w:w="0" w:type="pct"/>
            <w:tcBorders>
              <w:top w:val="single" w:sz="8" w:space="0" w:color="auto"/>
              <w:bottom w:val="single" w:sz="8" w:space="0" w:color="auto"/>
            </w:tcBorders>
          </w:tcPr>
          <w:p w14:paraId="5DBA32D6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A94599">
              <w:rPr>
                <w:rFonts w:asciiTheme="majorBidi" w:hAnsiTheme="majorBidi" w:cstheme="majorBidi"/>
                <w:b/>
                <w:bCs/>
                <w:color w:val="000000"/>
              </w:rPr>
              <w:t>Precision (CV%)</w:t>
            </w:r>
          </w:p>
        </w:tc>
        <w:tc>
          <w:tcPr>
            <w:tcW w:w="0" w:type="pct"/>
            <w:tcBorders>
              <w:top w:val="single" w:sz="8" w:space="0" w:color="auto"/>
              <w:bottom w:val="single" w:sz="8" w:space="0" w:color="auto"/>
            </w:tcBorders>
          </w:tcPr>
          <w:p w14:paraId="4B3D2D42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A94599">
              <w:rPr>
                <w:rFonts w:asciiTheme="majorBidi" w:hAnsiTheme="majorBidi" w:cstheme="majorBidi"/>
                <w:b/>
                <w:bCs/>
                <w:color w:val="000000"/>
              </w:rPr>
              <w:t>Accuracy (%)</w:t>
            </w:r>
          </w:p>
        </w:tc>
      </w:tr>
      <w:tr w:rsidR="00A23686" w:rsidRPr="00A94599" w14:paraId="2E756155" w14:textId="77777777" w:rsidTr="0070341B">
        <w:trPr>
          <w:trHeight w:val="320"/>
        </w:trPr>
        <w:tc>
          <w:tcPr>
            <w:tcW w:w="0" w:type="pct"/>
            <w:tcBorders>
              <w:top w:val="single" w:sz="8" w:space="0" w:color="auto"/>
            </w:tcBorders>
          </w:tcPr>
          <w:p w14:paraId="23CF3550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A94599">
              <w:rPr>
                <w:rFonts w:asciiTheme="majorBidi" w:hAnsiTheme="majorBidi" w:cstheme="majorBidi"/>
                <w:b/>
                <w:bCs/>
                <w:color w:val="000000"/>
              </w:rPr>
              <w:t xml:space="preserve">LLOQ </w:t>
            </w:r>
          </w:p>
        </w:tc>
        <w:tc>
          <w:tcPr>
            <w:tcW w:w="725" w:type="pct"/>
            <w:tcBorders>
              <w:top w:val="single" w:sz="8" w:space="0" w:color="auto"/>
            </w:tcBorders>
          </w:tcPr>
          <w:p w14:paraId="5F3D0F95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18</w:t>
            </w:r>
          </w:p>
        </w:tc>
        <w:tc>
          <w:tcPr>
            <w:tcW w:w="1089" w:type="pct"/>
            <w:tcBorders>
              <w:top w:val="single" w:sz="8" w:space="0" w:color="auto"/>
            </w:tcBorders>
          </w:tcPr>
          <w:p w14:paraId="448BB8F2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8.6 ± 0.4</w:t>
            </w:r>
          </w:p>
        </w:tc>
        <w:tc>
          <w:tcPr>
            <w:tcW w:w="0" w:type="pct"/>
            <w:tcBorders>
              <w:top w:val="single" w:sz="8" w:space="0" w:color="auto"/>
            </w:tcBorders>
          </w:tcPr>
          <w:p w14:paraId="3F42F262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4.67</w:t>
            </w:r>
          </w:p>
        </w:tc>
        <w:tc>
          <w:tcPr>
            <w:tcW w:w="0" w:type="pct"/>
            <w:tcBorders>
              <w:top w:val="single" w:sz="8" w:space="0" w:color="auto"/>
            </w:tcBorders>
          </w:tcPr>
          <w:p w14:paraId="0659649C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107.7</w:t>
            </w:r>
          </w:p>
        </w:tc>
      </w:tr>
      <w:tr w:rsidR="00A23686" w:rsidRPr="00A94599" w14:paraId="3D46C5E7" w14:textId="77777777" w:rsidTr="0070341B">
        <w:trPr>
          <w:trHeight w:val="300"/>
        </w:trPr>
        <w:tc>
          <w:tcPr>
            <w:tcW w:w="0" w:type="pct"/>
            <w:shd w:val="clear" w:color="auto" w:fill="F2F2F2" w:themeFill="background1" w:themeFillShade="F2"/>
          </w:tcPr>
          <w:p w14:paraId="6823B73E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A94599">
              <w:rPr>
                <w:rFonts w:asciiTheme="majorBidi" w:hAnsiTheme="majorBidi" w:cstheme="majorBidi"/>
                <w:b/>
                <w:bCs/>
                <w:color w:val="000000"/>
              </w:rPr>
              <w:t xml:space="preserve">LQC </w:t>
            </w:r>
          </w:p>
        </w:tc>
        <w:tc>
          <w:tcPr>
            <w:tcW w:w="725" w:type="pct"/>
            <w:shd w:val="clear" w:color="auto" w:fill="F2F2F2" w:themeFill="background1" w:themeFillShade="F2"/>
          </w:tcPr>
          <w:p w14:paraId="3D39BCA9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18</w:t>
            </w:r>
          </w:p>
        </w:tc>
        <w:tc>
          <w:tcPr>
            <w:tcW w:w="1089" w:type="pct"/>
            <w:shd w:val="clear" w:color="auto" w:fill="F2F2F2" w:themeFill="background1" w:themeFillShade="F2"/>
          </w:tcPr>
          <w:p w14:paraId="6B0771E3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25.3 ± 1.24</w:t>
            </w:r>
          </w:p>
        </w:tc>
        <w:tc>
          <w:tcPr>
            <w:tcW w:w="0" w:type="pct"/>
            <w:shd w:val="clear" w:color="auto" w:fill="F2F2F2" w:themeFill="background1" w:themeFillShade="F2"/>
          </w:tcPr>
          <w:p w14:paraId="17A91125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4.92</w:t>
            </w:r>
          </w:p>
        </w:tc>
        <w:tc>
          <w:tcPr>
            <w:tcW w:w="0" w:type="pct"/>
            <w:shd w:val="clear" w:color="auto" w:fill="F2F2F2" w:themeFill="background1" w:themeFillShade="F2"/>
          </w:tcPr>
          <w:p w14:paraId="4C037FB3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105.5</w:t>
            </w:r>
          </w:p>
        </w:tc>
      </w:tr>
      <w:tr w:rsidR="00A23686" w:rsidRPr="00A94599" w14:paraId="252FE076" w14:textId="77777777" w:rsidTr="0070341B">
        <w:trPr>
          <w:trHeight w:val="320"/>
        </w:trPr>
        <w:tc>
          <w:tcPr>
            <w:tcW w:w="0" w:type="pct"/>
          </w:tcPr>
          <w:p w14:paraId="5F22FA85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A94599">
              <w:rPr>
                <w:rFonts w:asciiTheme="majorBidi" w:hAnsiTheme="majorBidi" w:cstheme="majorBidi"/>
                <w:b/>
                <w:bCs/>
                <w:color w:val="000000"/>
              </w:rPr>
              <w:t xml:space="preserve">MQC </w:t>
            </w:r>
          </w:p>
        </w:tc>
        <w:tc>
          <w:tcPr>
            <w:tcW w:w="725" w:type="pct"/>
          </w:tcPr>
          <w:p w14:paraId="5BF1A4B8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18</w:t>
            </w:r>
          </w:p>
        </w:tc>
        <w:tc>
          <w:tcPr>
            <w:tcW w:w="1089" w:type="pct"/>
          </w:tcPr>
          <w:p w14:paraId="60490FF7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201.3 ± 9.17</w:t>
            </w:r>
          </w:p>
        </w:tc>
        <w:tc>
          <w:tcPr>
            <w:tcW w:w="0" w:type="pct"/>
          </w:tcPr>
          <w:p w14:paraId="6DF670DC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4.55</w:t>
            </w:r>
          </w:p>
        </w:tc>
        <w:tc>
          <w:tcPr>
            <w:tcW w:w="0" w:type="pct"/>
          </w:tcPr>
          <w:p w14:paraId="2254AAF9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100.7</w:t>
            </w:r>
          </w:p>
        </w:tc>
      </w:tr>
      <w:tr w:rsidR="00A23686" w:rsidRPr="00A94599" w14:paraId="1A2C4344" w14:textId="77777777" w:rsidTr="0070341B">
        <w:trPr>
          <w:trHeight w:val="320"/>
        </w:trPr>
        <w:tc>
          <w:tcPr>
            <w:tcW w:w="0" w:type="pct"/>
            <w:shd w:val="clear" w:color="auto" w:fill="F2F2F2" w:themeFill="background1" w:themeFillShade="F2"/>
          </w:tcPr>
          <w:p w14:paraId="38C2C5B7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A94599">
              <w:rPr>
                <w:rFonts w:asciiTheme="majorBidi" w:hAnsiTheme="majorBidi" w:cstheme="majorBidi"/>
                <w:b/>
                <w:bCs/>
                <w:color w:val="000000"/>
              </w:rPr>
              <w:t xml:space="preserve">HQC </w:t>
            </w:r>
          </w:p>
        </w:tc>
        <w:tc>
          <w:tcPr>
            <w:tcW w:w="725" w:type="pct"/>
            <w:shd w:val="clear" w:color="auto" w:fill="F2F2F2" w:themeFill="background1" w:themeFillShade="F2"/>
          </w:tcPr>
          <w:p w14:paraId="2327D5D3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16</w:t>
            </w:r>
          </w:p>
        </w:tc>
        <w:tc>
          <w:tcPr>
            <w:tcW w:w="1089" w:type="pct"/>
            <w:shd w:val="clear" w:color="auto" w:fill="F2F2F2" w:themeFill="background1" w:themeFillShade="F2"/>
          </w:tcPr>
          <w:p w14:paraId="4A42B90C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306.1 ± 13.94</w:t>
            </w:r>
          </w:p>
        </w:tc>
        <w:tc>
          <w:tcPr>
            <w:tcW w:w="0" w:type="pct"/>
            <w:shd w:val="clear" w:color="auto" w:fill="F2F2F2" w:themeFill="background1" w:themeFillShade="F2"/>
          </w:tcPr>
          <w:p w14:paraId="7CC1E071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4.55</w:t>
            </w:r>
          </w:p>
        </w:tc>
        <w:tc>
          <w:tcPr>
            <w:tcW w:w="0" w:type="pct"/>
            <w:shd w:val="clear" w:color="auto" w:fill="F2F2F2" w:themeFill="background1" w:themeFillShade="F2"/>
          </w:tcPr>
          <w:p w14:paraId="34CC3C26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111.2</w:t>
            </w:r>
          </w:p>
        </w:tc>
      </w:tr>
    </w:tbl>
    <w:p w14:paraId="2F1D49CB" w14:textId="77777777" w:rsidR="00A23686" w:rsidRPr="00A94599" w:rsidRDefault="00A23686" w:rsidP="00DD1138">
      <w:pPr>
        <w:autoSpaceDE w:val="0"/>
        <w:autoSpaceDN w:val="0"/>
        <w:adjustRightInd w:val="0"/>
        <w:spacing w:before="0" w:after="0"/>
        <w:jc w:val="both"/>
        <w:rPr>
          <w:rFonts w:asciiTheme="majorBidi" w:hAnsiTheme="majorBidi" w:cstheme="majorBidi"/>
          <w:color w:val="000000" w:themeColor="text1"/>
          <w:szCs w:val="24"/>
        </w:rPr>
      </w:pPr>
      <w:r w:rsidRPr="00A94599">
        <w:rPr>
          <w:rFonts w:asciiTheme="majorBidi" w:hAnsiTheme="majorBidi" w:cstheme="majorBidi"/>
          <w:color w:val="000000" w:themeColor="text1"/>
          <w:szCs w:val="24"/>
        </w:rPr>
        <w:t>LLQC, lowest limit of quantification (8 ng/mL); LQC, low quality control (24 ng/mL); MQC, medium quality control (200 ng/mL); HQC, high quality control (275 ng/mL)</w:t>
      </w:r>
    </w:p>
    <w:p w14:paraId="570D7D2B" w14:textId="77777777" w:rsidR="00A23686" w:rsidRDefault="00A23686" w:rsidP="00DD1138">
      <w:pPr>
        <w:tabs>
          <w:tab w:val="left" w:pos="2753"/>
        </w:tabs>
        <w:spacing w:before="0" w:after="0"/>
        <w:jc w:val="both"/>
        <w:rPr>
          <w:rFonts w:cs="Times New Roman"/>
          <w:b/>
          <w:bCs/>
          <w:color w:val="000000" w:themeColor="text1"/>
        </w:rPr>
      </w:pPr>
    </w:p>
    <w:p w14:paraId="5842EDF7" w14:textId="77777777" w:rsidR="00107323" w:rsidRDefault="00107323" w:rsidP="0029566F">
      <w:pPr>
        <w:tabs>
          <w:tab w:val="left" w:pos="2753"/>
        </w:tabs>
        <w:spacing w:before="0" w:after="0"/>
        <w:jc w:val="both"/>
        <w:rPr>
          <w:rFonts w:cs="Times New Roman"/>
          <w:b/>
          <w:bCs/>
          <w:color w:val="000000" w:themeColor="text1"/>
        </w:rPr>
      </w:pPr>
    </w:p>
    <w:p w14:paraId="56F2F79F" w14:textId="77777777" w:rsidR="0029566F" w:rsidRDefault="0029566F" w:rsidP="0029566F">
      <w:pPr>
        <w:tabs>
          <w:tab w:val="left" w:pos="2753"/>
        </w:tabs>
        <w:spacing w:before="0" w:after="0"/>
        <w:jc w:val="both"/>
        <w:rPr>
          <w:rFonts w:cs="Times New Roman"/>
          <w:b/>
          <w:bCs/>
          <w:color w:val="000000" w:themeColor="text1"/>
        </w:rPr>
      </w:pPr>
    </w:p>
    <w:p w14:paraId="31049C57" w14:textId="77777777" w:rsidR="0029566F" w:rsidRDefault="0029566F" w:rsidP="0029566F">
      <w:pPr>
        <w:tabs>
          <w:tab w:val="left" w:pos="2753"/>
        </w:tabs>
        <w:spacing w:before="0" w:after="0"/>
        <w:jc w:val="both"/>
        <w:rPr>
          <w:rFonts w:cs="Times New Roman"/>
          <w:b/>
          <w:bCs/>
          <w:color w:val="000000" w:themeColor="text1"/>
        </w:rPr>
      </w:pPr>
    </w:p>
    <w:p w14:paraId="11FC45DC" w14:textId="77777777" w:rsidR="0029566F" w:rsidRDefault="0029566F" w:rsidP="0029566F">
      <w:pPr>
        <w:tabs>
          <w:tab w:val="left" w:pos="2753"/>
        </w:tabs>
        <w:spacing w:before="0" w:after="0"/>
        <w:jc w:val="both"/>
        <w:rPr>
          <w:rFonts w:cs="Times New Roman"/>
          <w:b/>
          <w:bCs/>
          <w:color w:val="000000" w:themeColor="text1"/>
        </w:rPr>
      </w:pPr>
    </w:p>
    <w:p w14:paraId="19BC9661" w14:textId="77777777" w:rsidR="0029566F" w:rsidRDefault="0029566F" w:rsidP="0029566F">
      <w:pPr>
        <w:tabs>
          <w:tab w:val="left" w:pos="2753"/>
        </w:tabs>
        <w:spacing w:before="0" w:after="0"/>
        <w:jc w:val="both"/>
        <w:rPr>
          <w:rFonts w:cs="Times New Roman"/>
          <w:b/>
          <w:bCs/>
          <w:color w:val="000000" w:themeColor="text1"/>
        </w:rPr>
      </w:pPr>
    </w:p>
    <w:p w14:paraId="3EF4A2AF" w14:textId="77777777" w:rsidR="0029566F" w:rsidRDefault="0029566F" w:rsidP="0029566F">
      <w:pPr>
        <w:tabs>
          <w:tab w:val="left" w:pos="2753"/>
        </w:tabs>
        <w:spacing w:before="0" w:after="0"/>
        <w:jc w:val="both"/>
        <w:rPr>
          <w:rFonts w:cs="Times New Roman"/>
          <w:b/>
          <w:bCs/>
          <w:color w:val="000000" w:themeColor="text1"/>
        </w:rPr>
      </w:pPr>
    </w:p>
    <w:p w14:paraId="2F5002E9" w14:textId="77777777" w:rsidR="0029566F" w:rsidRPr="00BE72A3" w:rsidRDefault="0029566F" w:rsidP="00DD1138">
      <w:pPr>
        <w:tabs>
          <w:tab w:val="left" w:pos="2753"/>
        </w:tabs>
        <w:spacing w:before="0" w:after="0"/>
        <w:jc w:val="both"/>
        <w:rPr>
          <w:rFonts w:cs="Times New Roman"/>
          <w:b/>
          <w:bCs/>
          <w:color w:val="000000" w:themeColor="text1"/>
        </w:rPr>
      </w:pPr>
    </w:p>
    <w:p w14:paraId="6503E284" w14:textId="77777777" w:rsidR="00A23686" w:rsidRPr="00A94599" w:rsidRDefault="00A23686" w:rsidP="00DD1138">
      <w:pPr>
        <w:spacing w:before="0" w:after="0"/>
        <w:jc w:val="both"/>
        <w:rPr>
          <w:rFonts w:asciiTheme="majorBidi" w:hAnsiTheme="majorBidi" w:cstheme="majorBidi"/>
          <w:color w:val="000000" w:themeColor="text1"/>
          <w:szCs w:val="24"/>
        </w:rPr>
      </w:pPr>
      <w:r w:rsidRPr="00A94599">
        <w:rPr>
          <w:rFonts w:asciiTheme="majorBidi" w:hAnsiTheme="majorBidi" w:cstheme="majorBidi"/>
          <w:b/>
          <w:bCs/>
          <w:color w:val="000000" w:themeColor="text1"/>
          <w:szCs w:val="24"/>
        </w:rPr>
        <w:lastRenderedPageBreak/>
        <w:t xml:space="preserve">Table S3. </w:t>
      </w:r>
      <w:r w:rsidRPr="00A94599">
        <w:rPr>
          <w:rFonts w:asciiTheme="majorBidi" w:hAnsiTheme="majorBidi" w:cstheme="majorBidi"/>
          <w:color w:val="000000" w:themeColor="text1"/>
          <w:szCs w:val="24"/>
        </w:rPr>
        <w:t>Extraction efficacy, recovery, and matrix factor for CBG standard and internal standard in mouse whole blood quantified using LC-MS/MS.</w:t>
      </w:r>
    </w:p>
    <w:tbl>
      <w:tblPr>
        <w:tblStyle w:val="GridTable1Light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2"/>
        <w:gridCol w:w="1597"/>
        <w:gridCol w:w="1348"/>
        <w:gridCol w:w="1518"/>
        <w:gridCol w:w="1465"/>
        <w:gridCol w:w="1464"/>
        <w:gridCol w:w="1293"/>
      </w:tblGrid>
      <w:tr w:rsidR="00A23686" w:rsidRPr="00A94599" w14:paraId="67D78030" w14:textId="77777777" w:rsidTr="007034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6115BF2A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Quality control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1A53869A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Standard Extraction Efficacy %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115F7B58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Standard Recovery %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170B97B1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Standard Matrix Factor %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32C72809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Internal Standard</w:t>
            </w:r>
          </w:p>
          <w:p w14:paraId="1D57A6BB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Extraction Efficacy %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46A41605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Internal Standard Recovery %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14:paraId="1FED9F9A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Internal Standard</w:t>
            </w:r>
          </w:p>
          <w:p w14:paraId="7A108BFE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Matrix Factor %</w:t>
            </w:r>
          </w:p>
        </w:tc>
      </w:tr>
      <w:tr w:rsidR="00A23686" w:rsidRPr="00A94599" w14:paraId="1463E836" w14:textId="77777777" w:rsidTr="007034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8" w:space="0" w:color="auto"/>
            </w:tcBorders>
          </w:tcPr>
          <w:p w14:paraId="515DA773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 xml:space="preserve">LQC 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10EDC3D7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 xml:space="preserve"> 68.0 ± 3.8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0C7ED983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69.4 ± 8.3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796B3839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 xml:space="preserve"> 102.3 ± 13.2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2158E768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114.8 ± 10.6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6AB24EA1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123.9 ± 7.9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557F6C20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109.2 ± 17.0</w:t>
            </w:r>
          </w:p>
        </w:tc>
      </w:tr>
      <w:tr w:rsidR="00A23686" w:rsidRPr="00A94599" w14:paraId="631FCD92" w14:textId="77777777" w:rsidTr="007034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2F2F2" w:themeFill="background1" w:themeFillShade="F2"/>
          </w:tcPr>
          <w:p w14:paraId="57D01843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 xml:space="preserve">MQC  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653FA877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61.6 ± 6.4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562ECD2C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67.6 ± 7.0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5C81F90F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110.0± 7.9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013C99C2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111.8 ± 2.4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0CE34AC5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122.1 ± 10.3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06B83040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109.3 ± 9.1</w:t>
            </w:r>
          </w:p>
        </w:tc>
      </w:tr>
      <w:tr w:rsidR="00A23686" w:rsidRPr="00A94599" w14:paraId="2CEF857B" w14:textId="77777777" w:rsidTr="007034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61E32B7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 xml:space="preserve">HQC  </w:t>
            </w:r>
          </w:p>
        </w:tc>
        <w:tc>
          <w:tcPr>
            <w:tcW w:w="0" w:type="auto"/>
          </w:tcPr>
          <w:p w14:paraId="5F8C8260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60.1 ± 5.0</w:t>
            </w:r>
          </w:p>
        </w:tc>
        <w:tc>
          <w:tcPr>
            <w:tcW w:w="0" w:type="auto"/>
          </w:tcPr>
          <w:p w14:paraId="2C728C4B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67.7 ±8.4</w:t>
            </w:r>
          </w:p>
        </w:tc>
        <w:tc>
          <w:tcPr>
            <w:tcW w:w="0" w:type="auto"/>
          </w:tcPr>
          <w:p w14:paraId="417CF6E8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113.1±14.8</w:t>
            </w:r>
          </w:p>
        </w:tc>
        <w:tc>
          <w:tcPr>
            <w:tcW w:w="0" w:type="auto"/>
          </w:tcPr>
          <w:p w14:paraId="7218FE11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105.1± 9.4</w:t>
            </w:r>
          </w:p>
        </w:tc>
        <w:tc>
          <w:tcPr>
            <w:tcW w:w="0" w:type="auto"/>
          </w:tcPr>
          <w:p w14:paraId="43D7BF92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120.9 ± 11.1</w:t>
            </w:r>
          </w:p>
        </w:tc>
        <w:tc>
          <w:tcPr>
            <w:tcW w:w="0" w:type="auto"/>
          </w:tcPr>
          <w:p w14:paraId="46DD255F" w14:textId="77777777" w:rsidR="00A23686" w:rsidRPr="00A94599" w:rsidRDefault="00A23686" w:rsidP="00DD1138">
            <w:pPr>
              <w:autoSpaceDE w:val="0"/>
              <w:autoSpaceDN w:val="0"/>
              <w:adjustRightInd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</w:rPr>
            </w:pPr>
            <w:r w:rsidRPr="00A94599">
              <w:rPr>
                <w:rFonts w:asciiTheme="majorBidi" w:hAnsiTheme="majorBidi" w:cstheme="majorBidi"/>
                <w:color w:val="000000"/>
              </w:rPr>
              <w:t>115.2 ± 6.3</w:t>
            </w:r>
          </w:p>
        </w:tc>
      </w:tr>
    </w:tbl>
    <w:p w14:paraId="4916FCC9" w14:textId="1AAFF7B2" w:rsidR="00994A3D" w:rsidRPr="00107323" w:rsidRDefault="00A23686" w:rsidP="00DD1138">
      <w:pPr>
        <w:autoSpaceDE w:val="0"/>
        <w:autoSpaceDN w:val="0"/>
        <w:adjustRightInd w:val="0"/>
        <w:spacing w:before="0" w:after="0"/>
        <w:jc w:val="both"/>
        <w:rPr>
          <w:rFonts w:asciiTheme="majorBidi" w:hAnsiTheme="majorBidi" w:cstheme="majorBidi"/>
          <w:color w:val="000000" w:themeColor="text1"/>
          <w:szCs w:val="24"/>
        </w:rPr>
      </w:pPr>
      <w:r w:rsidRPr="00A94599">
        <w:rPr>
          <w:rFonts w:asciiTheme="majorBidi" w:hAnsiTheme="majorBidi" w:cstheme="majorBidi"/>
          <w:color w:val="000000" w:themeColor="text1"/>
          <w:szCs w:val="24"/>
        </w:rPr>
        <w:t>LQC, low quality control (24 ng/mL); MQC, medium quality control (200 ng/mL); HQC, high quality control (275 ng/mL).</w:t>
      </w:r>
    </w:p>
    <w:p w14:paraId="11EC8DA1" w14:textId="77777777" w:rsidR="00994A3D" w:rsidRPr="001549D3" w:rsidRDefault="00994A3D" w:rsidP="00DD1138">
      <w:pPr>
        <w:keepNext/>
        <w:spacing w:before="0" w:after="0"/>
        <w:jc w:val="center"/>
        <w:rPr>
          <w:rFonts w:cs="Times New Roman"/>
          <w:szCs w:val="24"/>
        </w:rPr>
      </w:pPr>
      <w:r w:rsidRPr="001549D3">
        <w:rPr>
          <w:b/>
          <w:noProof/>
          <w:lang w:val="en-GB" w:eastAsia="en-GB"/>
        </w:rPr>
        <w:drawing>
          <wp:inline distT="0" distB="0" distL="0" distR="0" wp14:anchorId="4ACC5B9F" wp14:editId="1CE3B87B">
            <wp:extent cx="4051121" cy="1456582"/>
            <wp:effectExtent l="0" t="0" r="6985" b="0"/>
            <wp:docPr id="6" name="Picture 6" descr="C:\Users\Elaine.Scott\Documents\LaTex\____TEST____Frontiers_LaTeX_Templates_V2.5\Frontiers LaTeX (Science, Health and Engineering) V2.5 - with Supplementary material (V1.2)\logo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laine.Scott\Documents\LaTex\____TEST____Frontiers_LaTeX_Templates_V2.5\Frontiers LaTeX (Science, Health and Engineering) V2.5 - with Supplementary material (V1.2)\logo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491" cy="1733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F1AED1" w14:textId="77777777" w:rsidR="00DE23E8" w:rsidRPr="001549D3" w:rsidRDefault="00DE23E8" w:rsidP="00DD1138">
      <w:pPr>
        <w:spacing w:before="0" w:after="0"/>
      </w:pPr>
    </w:p>
    <w:sectPr w:rsidR="00DE23E8" w:rsidRPr="001549D3" w:rsidSect="0093429D">
      <w:headerReference w:type="even" r:id="rId18"/>
      <w:footerReference w:type="even" r:id="rId19"/>
      <w:footerReference w:type="default" r:id="rId20"/>
      <w:headerReference w:type="first" r:id="rId21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E1E3E" w14:textId="77777777" w:rsidR="00041EF5" w:rsidRDefault="00041EF5" w:rsidP="00117666">
      <w:pPr>
        <w:spacing w:after="0"/>
      </w:pPr>
      <w:r>
        <w:separator/>
      </w:r>
    </w:p>
  </w:endnote>
  <w:endnote w:type="continuationSeparator" w:id="0">
    <w:p w14:paraId="0ED9CF49" w14:textId="77777777" w:rsidR="00041EF5" w:rsidRDefault="00041EF5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4AB28" w14:textId="77777777" w:rsidR="0057205B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A152CD" wp14:editId="47F23114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D054D26" w14:textId="77777777" w:rsidR="0057205B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A152C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WHOkItwAAAAJAQAADwAAAGRycy9kb3ducmV2LnhtbEyPwU7DMBBE&#10;70j8g7VIXBB1mkoBpXEqVJRz1ZQPcONtkmKvo9hpwt+zcIHLSKvRzM4rdouz4oZj6D0pWK8SEEiN&#10;Nz21Cj5O1fMriBA1GW09oYIvDLAr7+8KnRs/0xFvdWwFl1DItYIuxiGXMjQdOh1WfkBi7+JHpyOf&#10;YyvNqGcud1amSZJJp3viD50ecN9h81lPToFP5yd7rNfV/jBfq+Qw4akOqNTjw/K+ZXnbgoi4xL8E&#10;/DDwfih52NlPZIKwCpgm/ip76eYlA3FWkKUbkGUh/xOU3wAAAP//AwBQSwECLQAUAAYACAAAACEA&#10;toM4kv4AAADhAQAAEwAAAAAAAAAAAAAAAAAAAAAAW0NvbnRlbnRfVHlwZXNdLnhtbFBLAQItABQA&#10;BgAIAAAAIQA4/SH/1gAAAJQBAAALAAAAAAAAAAAAAAAAAC8BAABfcmVscy8ucmVsc1BLAQItABQA&#10;BgAIAAAAIQDxXhUiHgIAADoEAAAOAAAAAAAAAAAAAAAAAC4CAABkcnMvZTJvRG9jLnhtbFBLAQIt&#10;ABQABgAIAAAAIQBYc6Qi3AAAAAkBAAAPAAAAAAAAAAAAAAAAAHgEAABkcnMvZG93bnJldi54bWxQ&#10;SwUGAAAAAAQABADzAAAAgQUAAAAA&#10;" filled="f" stroked="f" strokeweight=".5pt">
              <v:textbox style="mso-fit-shape-to-text:t">
                <w:txbxContent>
                  <w:p w14:paraId="4D054D26" w14:textId="77777777" w:rsidR="0057205B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2FF27" w14:textId="77777777" w:rsidR="0057205B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3151A55C" wp14:editId="2441783D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85E15EB" w14:textId="77777777" w:rsidR="0057205B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51A55C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wEnIAIAAEEEAAAOAAAAZHJzL2Uyb0RvYy54bWysU8tu2zAQvBfoPxC815Id20kEy4GbwEUB&#10;IwngFDnTFGkJILksSVtyv75Lyi+kPRW9ULua5T5mlrOHTiuyF843YEo6HOSUCMOhasy2pD/ell/u&#10;KPGBmYopMKKkB+Hpw/zzp1lrCzGCGlQlHMEkxhetLWkdgi2yzPNaaOYHYIVBUILTLKDrtlnlWIvZ&#10;tcpGeT7NWnCVdcCF9/j3qQfpPOWXUvDwIqUXgaiSYm8hnS6dm3hm8xkrto7ZuuHHNtg/dKFZY7Do&#10;OdUTC4zsXPNHKt1wBx5kGHDQGUjZcJFmwGmG+Ydp1jWzIs2C5Hh7psn/v7T8eb+2r46E7it0KGAk&#10;pLW+8PgzztNJp+MXOyWII4WHM22iC4THS5P87naKEEfs5n4yzScxTXa5bZ0P3wRoEo2SOpQlscX2&#10;Kx/60FNILGZg2SiVpFGGtCWd3kzydOGMYHJlYqxIIh/TXDqPVug2HWmqq6k2UB1wWAf9HnjLlw12&#10;tGI+vDKHwuMQuMzhBQ+pACvD0aKkBvfrb/9jPOqBKCUtLlJJ/c8dc4IS9d2gUvfD8ThuXnLGk9sR&#10;Ou4a2VwjZqcfAXd1iM/G8mTG+KBOpnSg33HnF7EqQsxwrF3ScDIfQ7/e+Ga4WCxSEO6aZWFl1pbH&#10;1JG3yPdb986cPYoSUM5nOK0cKz5o08fGm94udgEVSsJFnntWUfDo4J4m6Y9vKj6Eaz9FXV7+/DcA&#10;AAD//wMAUEsDBBQABgAIAAAAIQBYc6Qi3AAAAAkBAAAPAAAAZHJzL2Rvd25yZXYueG1sTI/BTsMw&#10;EETvSPyDtUhcEHWaSgGlcSpUlHPVlA9w422SYq+j2GnC37NwgctIq9HMzit2i7PihmPoPSlYrxIQ&#10;SI03PbUKPk7V8yuIEDUZbT2hgi8MsCvv7wqdGz/TEW91bAWXUMi1gi7GIZcyNB06HVZ+QGLv4ken&#10;I59jK82oZy53VqZJkkmne+IPnR5w32HzWU9OgU/nJ3us19X+MF+r5DDhqQ6o1OPD8r5leduCiLjE&#10;vwT8MPB+KHnY2U9kgrAKmCb+Knvp5iUDcVaQpRuQZSH/E5TfAAAA//8DAFBLAQItABQABgAIAAAA&#10;IQC2gziS/gAAAOEBAAATAAAAAAAAAAAAAAAAAAAAAABbQ29udGVudF9UeXBlc10ueG1sUEsBAi0A&#10;FAAGAAgAAAAhADj9If/WAAAAlAEAAAsAAAAAAAAAAAAAAAAALwEAAF9yZWxzLy5yZWxzUEsBAi0A&#10;FAAGAAgAAAAhAEw/AScgAgAAQQQAAA4AAAAAAAAAAAAAAAAALgIAAGRycy9lMm9Eb2MueG1sUEsB&#10;Ai0AFAAGAAgAAAAhAFhzpCLcAAAACQEAAA8AAAAAAAAAAAAAAAAAegQAAGRycy9kb3ducmV2Lnht&#10;bFBLBQYAAAAABAAEAPMAAACDBQAAAAA=&#10;" filled="f" stroked="f" strokeweight=".5pt">
              <v:textbox style="mso-fit-shape-to-text:t">
                <w:txbxContent>
                  <w:p w14:paraId="085E15EB" w14:textId="77777777" w:rsidR="0057205B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96A2D" w14:textId="77777777" w:rsidR="00041EF5" w:rsidRDefault="00041EF5" w:rsidP="00117666">
      <w:pPr>
        <w:spacing w:after="0"/>
      </w:pPr>
      <w:r>
        <w:separator/>
      </w:r>
    </w:p>
  </w:footnote>
  <w:footnote w:type="continuationSeparator" w:id="0">
    <w:p w14:paraId="68153811" w14:textId="77777777" w:rsidR="00041EF5" w:rsidRDefault="00041EF5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1EDBA" w14:textId="77777777" w:rsidR="0057205B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11A5B" w14:textId="77777777" w:rsidR="0057205B" w:rsidRDefault="0093429D" w:rsidP="0093429D">
    <w:r w:rsidRPr="005A1D84">
      <w:rPr>
        <w:b/>
        <w:noProof/>
        <w:color w:val="A6A6A6" w:themeColor="background1" w:themeShade="A6"/>
        <w:lang w:val="en-GB" w:eastAsia="en-GB"/>
      </w:rPr>
      <w:drawing>
        <wp:inline distT="0" distB="0" distL="0" distR="0" wp14:anchorId="7EAE9060" wp14:editId="09E5B960">
          <wp:extent cx="1382534" cy="497091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2A7B" w:rsidRPr="007E3148">
      <w:rPr>
        <w:b/>
      </w:rPr>
      <w:ptab w:relativeTo="margin" w:alignment="center" w:leader="none"/>
    </w:r>
    <w:r w:rsidR="00C52A7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821115517">
    <w:abstractNumId w:val="0"/>
  </w:num>
  <w:num w:numId="2" w16cid:durableId="1683165481">
    <w:abstractNumId w:val="4"/>
  </w:num>
  <w:num w:numId="3" w16cid:durableId="615480040">
    <w:abstractNumId w:val="1"/>
  </w:num>
  <w:num w:numId="4" w16cid:durableId="1566183234">
    <w:abstractNumId w:val="5"/>
  </w:num>
  <w:num w:numId="5" w16cid:durableId="18077027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59223692">
    <w:abstractNumId w:val="3"/>
  </w:num>
  <w:num w:numId="7" w16cid:durableId="1359550598">
    <w:abstractNumId w:val="6"/>
  </w:num>
  <w:num w:numId="8" w16cid:durableId="1559510671">
    <w:abstractNumId w:val="6"/>
  </w:num>
  <w:num w:numId="9" w16cid:durableId="1734543462">
    <w:abstractNumId w:val="6"/>
  </w:num>
  <w:num w:numId="10" w16cid:durableId="708839681">
    <w:abstractNumId w:val="6"/>
  </w:num>
  <w:num w:numId="11" w16cid:durableId="2046978920">
    <w:abstractNumId w:val="6"/>
  </w:num>
  <w:num w:numId="12" w16cid:durableId="2124614653">
    <w:abstractNumId w:val="6"/>
  </w:num>
  <w:num w:numId="13" w16cid:durableId="150105246">
    <w:abstractNumId w:val="3"/>
  </w:num>
  <w:num w:numId="14" w16cid:durableId="515769853">
    <w:abstractNumId w:val="2"/>
  </w:num>
  <w:num w:numId="15" w16cid:durableId="1753046014">
    <w:abstractNumId w:val="2"/>
  </w:num>
  <w:num w:numId="16" w16cid:durableId="665939894">
    <w:abstractNumId w:val="2"/>
  </w:num>
  <w:num w:numId="17" w16cid:durableId="2078749421">
    <w:abstractNumId w:val="2"/>
  </w:num>
  <w:num w:numId="18" w16cid:durableId="825047625">
    <w:abstractNumId w:val="2"/>
  </w:num>
  <w:num w:numId="19" w16cid:durableId="803810417">
    <w:abstractNumId w:val="2"/>
  </w:num>
  <w:num w:numId="20" w16cid:durableId="7318533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D24"/>
    <w:rsid w:val="000074C6"/>
    <w:rsid w:val="0001436A"/>
    <w:rsid w:val="000156D7"/>
    <w:rsid w:val="00034304"/>
    <w:rsid w:val="00035434"/>
    <w:rsid w:val="00041EF5"/>
    <w:rsid w:val="00052A14"/>
    <w:rsid w:val="0006432B"/>
    <w:rsid w:val="00077D53"/>
    <w:rsid w:val="000903C6"/>
    <w:rsid w:val="00105FD9"/>
    <w:rsid w:val="00107323"/>
    <w:rsid w:val="00117666"/>
    <w:rsid w:val="001549D3"/>
    <w:rsid w:val="00160065"/>
    <w:rsid w:val="00177D84"/>
    <w:rsid w:val="00194C9C"/>
    <w:rsid w:val="001F33F6"/>
    <w:rsid w:val="00210E30"/>
    <w:rsid w:val="002635D9"/>
    <w:rsid w:val="00267D18"/>
    <w:rsid w:val="002868E2"/>
    <w:rsid w:val="002869C3"/>
    <w:rsid w:val="002936E4"/>
    <w:rsid w:val="0029566F"/>
    <w:rsid w:val="002B4A57"/>
    <w:rsid w:val="002B5AE6"/>
    <w:rsid w:val="002C74CA"/>
    <w:rsid w:val="002E16DD"/>
    <w:rsid w:val="00301C36"/>
    <w:rsid w:val="003544FB"/>
    <w:rsid w:val="00366F52"/>
    <w:rsid w:val="00394FF0"/>
    <w:rsid w:val="003A62CA"/>
    <w:rsid w:val="003D2D47"/>
    <w:rsid w:val="003D2F2D"/>
    <w:rsid w:val="00401590"/>
    <w:rsid w:val="004445EB"/>
    <w:rsid w:val="00447801"/>
    <w:rsid w:val="004512A0"/>
    <w:rsid w:val="00452E9C"/>
    <w:rsid w:val="004735C8"/>
    <w:rsid w:val="004761FF"/>
    <w:rsid w:val="004961FF"/>
    <w:rsid w:val="00517A89"/>
    <w:rsid w:val="005250F2"/>
    <w:rsid w:val="0057205B"/>
    <w:rsid w:val="00593EEA"/>
    <w:rsid w:val="005A5EEE"/>
    <w:rsid w:val="005B615B"/>
    <w:rsid w:val="0060135C"/>
    <w:rsid w:val="00614147"/>
    <w:rsid w:val="006375C7"/>
    <w:rsid w:val="00654E8F"/>
    <w:rsid w:val="00660D05"/>
    <w:rsid w:val="006820B1"/>
    <w:rsid w:val="006B7D14"/>
    <w:rsid w:val="00701727"/>
    <w:rsid w:val="007040F7"/>
    <w:rsid w:val="0070566C"/>
    <w:rsid w:val="00714C50"/>
    <w:rsid w:val="00725A7D"/>
    <w:rsid w:val="00725ED3"/>
    <w:rsid w:val="00727839"/>
    <w:rsid w:val="007501BE"/>
    <w:rsid w:val="00790BB3"/>
    <w:rsid w:val="007A2276"/>
    <w:rsid w:val="007C206C"/>
    <w:rsid w:val="00803D24"/>
    <w:rsid w:val="00817DD6"/>
    <w:rsid w:val="00873E15"/>
    <w:rsid w:val="00885156"/>
    <w:rsid w:val="008B6CB4"/>
    <w:rsid w:val="00903E0B"/>
    <w:rsid w:val="009151AA"/>
    <w:rsid w:val="0093429D"/>
    <w:rsid w:val="00943573"/>
    <w:rsid w:val="00970F7D"/>
    <w:rsid w:val="00994A3D"/>
    <w:rsid w:val="009C16D2"/>
    <w:rsid w:val="009C2B12"/>
    <w:rsid w:val="009C70F3"/>
    <w:rsid w:val="00A174D9"/>
    <w:rsid w:val="00A23686"/>
    <w:rsid w:val="00A569CD"/>
    <w:rsid w:val="00A94599"/>
    <w:rsid w:val="00AB5EE2"/>
    <w:rsid w:val="00AB6715"/>
    <w:rsid w:val="00B1671E"/>
    <w:rsid w:val="00B25EB8"/>
    <w:rsid w:val="00B354E1"/>
    <w:rsid w:val="00B37F4D"/>
    <w:rsid w:val="00B4686B"/>
    <w:rsid w:val="00B80775"/>
    <w:rsid w:val="00BD4A09"/>
    <w:rsid w:val="00C52A7B"/>
    <w:rsid w:val="00C562BD"/>
    <w:rsid w:val="00C56BAF"/>
    <w:rsid w:val="00C57B2B"/>
    <w:rsid w:val="00C679AA"/>
    <w:rsid w:val="00C75972"/>
    <w:rsid w:val="00CB1414"/>
    <w:rsid w:val="00CC0A3A"/>
    <w:rsid w:val="00CD066B"/>
    <w:rsid w:val="00CE4FEE"/>
    <w:rsid w:val="00D7031C"/>
    <w:rsid w:val="00DA46C3"/>
    <w:rsid w:val="00DB59C3"/>
    <w:rsid w:val="00DC259A"/>
    <w:rsid w:val="00DD1138"/>
    <w:rsid w:val="00DE23E8"/>
    <w:rsid w:val="00E250BB"/>
    <w:rsid w:val="00E52377"/>
    <w:rsid w:val="00E64E17"/>
    <w:rsid w:val="00E80D0D"/>
    <w:rsid w:val="00E866C9"/>
    <w:rsid w:val="00EA3D3C"/>
    <w:rsid w:val="00EA41AB"/>
    <w:rsid w:val="00F141FF"/>
    <w:rsid w:val="00F46900"/>
    <w:rsid w:val="00F6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4487BD"/>
  <w15:docId w15:val="{133E554D-C33E-435D-A5BC-605DF70AE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  <w:style w:type="paragraph" w:styleId="Revision">
    <w:name w:val="Revision"/>
    <w:hidden/>
    <w:uiPriority w:val="99"/>
    <w:semiHidden/>
    <w:rsid w:val="00803D24"/>
    <w:pPr>
      <w:spacing w:after="0" w:line="240" w:lineRule="auto"/>
    </w:pPr>
    <w:rPr>
      <w:rFonts w:ascii="Times New Roman" w:hAnsi="Times New Roman"/>
      <w:sz w:val="24"/>
    </w:rPr>
  </w:style>
  <w:style w:type="table" w:styleId="GridTable1Light">
    <w:name w:val="Grid Table 1 Light"/>
    <w:basedOn w:val="TableNormal"/>
    <w:uiPriority w:val="46"/>
    <w:rsid w:val="00A94599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emf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6.jpeg"/><Relationship Id="rId2" Type="http://schemas.openxmlformats.org/officeDocument/2006/relationships/customXml" Target="../customXml/item2.xml"/><Relationship Id="rId16" Type="http://schemas.openxmlformats.org/officeDocument/2006/relationships/image" Target="media/image5.tiff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4.tiff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tiff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885ac53139f20652f850277d10459b85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b20dbcea35cbef169bcf39aab5233ab6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FRONDOC-1086935359-10119</_dlc_DocId>
    <_dlc_DocIdUrl xmlns="26005759-6815-4540-b8ea-913958d74f23">
      <Url>https://frontiersin.sharepoint.com/Publishing/PubOps/Production/_layouts/15/DocIdRedir.aspx?ID=FRONDOC-1086935359-10119</Url>
      <Description>FRONDOC-1086935359-10119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114314AF-3C36-4C2C-B599-40A76C6FFFC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FF441E3-103C-4487-877D-08CD22337C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005759-6815-4540-b8ea-913958d74f23"/>
    <ds:schemaRef ds:uri="970c08f3-bdc0-46be-888b-e62464d9f7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3D4929F-83D0-432F-8F82-6D4423C25F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2E0E22-D442-4EBE-AAA2-EDC8871E7B41}">
  <ds:schemaRefs>
    <ds:schemaRef ds:uri="http://schemas.microsoft.com/office/2006/metadata/properties"/>
    <ds:schemaRef ds:uri="http://schemas.microsoft.com/office/infopath/2007/PartnerControls"/>
    <ds:schemaRef ds:uri="26005759-6815-4540-b8ea-913958d74f23"/>
    <ds:schemaRef ds:uri="970c08f3-bdc0-46be-888b-e62464d9f78c"/>
  </ds:schemaRefs>
</ds:datastoreItem>
</file>

<file path=customXml/itemProps5.xml><?xml version="1.0" encoding="utf-8"?>
<ds:datastoreItem xmlns:ds="http://schemas.openxmlformats.org/officeDocument/2006/customXml" ds:itemID="{2558679B-78FB-42CD-A1EA-A99096AF5568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TotalTime>1</TotalTime>
  <Pages>8</Pages>
  <Words>1760</Words>
  <Characters>10037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Frontiers</dc:creator>
  <cp:lastModifiedBy>Laprairie, Robert</cp:lastModifiedBy>
  <cp:revision>2</cp:revision>
  <cp:lastPrinted>2013-10-03T12:51:00Z</cp:lastPrinted>
  <dcterms:created xsi:type="dcterms:W3CDTF">2025-10-26T20:37:00Z</dcterms:created>
  <dcterms:modified xsi:type="dcterms:W3CDTF">2025-10-26T20:37:00Z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</Properties>
</file>